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240" w:after="60"/>
        <w:ind w:left="0" w:right="0" w:hanging="0"/>
        <w:jc w:val="left"/>
        <w:rPr>
          <w:bdr w:val="single" w:sz="16" w:space="1" w:color="000000"/>
        </w:rPr>
      </w:pPr>
      <w:bookmarkStart w:id="0" w:name="tm2620203d2_6k.htm"/>
      <w:bookmarkStart w:id="1" w:name="kstm2620203d2_6k"/>
      <w:bookmarkEnd w:id="0"/>
      <w:bookmarkEnd w:id="1"/>
      <w:r>
        <w:rPr>
          <w:bdr w:val="single" w:sz="16"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UNITED STATES</w:t>
      </w:r>
      <w:r>
        <w:rPr>
          <w:rFonts w:ascii="Times New Roman;Times;Serif" w:hAnsi="Times New Roman;Times;Serif"/>
          <w:b w:val="false"/>
          <w:i w:val="false"/>
          <w:caps w:val="false"/>
          <w:smallCaps w:val="false"/>
          <w:sz w:val="20"/>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SECURITIES AND EXCHANGE COMMISSION</w:t>
      </w:r>
      <w:r>
        <w:rPr>
          <w:rFonts w:ascii="Times New Roman;Times;Serif" w:hAnsi="Times New Roman;Times;Serif"/>
          <w:b w:val="false"/>
          <w:i w:val="false"/>
          <w:caps w:val="false"/>
          <w:smallCaps w:val="false"/>
          <w:sz w:val="20"/>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FORM 6-K</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REPORT OF FOREIGN PRIVATE ISSUER</w:t>
      </w:r>
      <w:r>
        <w:rPr>
          <w:rFonts w:ascii="Times New Roman;Times;Serif" w:hAnsi="Times New Roman;Times;Serif"/>
          <w:b w:val="false"/>
          <w:i w:val="false"/>
          <w:caps w:val="false"/>
          <w:smallCaps w:val="false"/>
          <w:sz w:val="20"/>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PURSUANT TO RULE 13a-16 OR 15d-16 UNDER</w:t>
      </w:r>
      <w:r>
        <w:rPr>
          <w:rFonts w:ascii="Times New Roman;Times;Serif" w:hAnsi="Times New Roman;Times;Serif"/>
          <w:b w:val="false"/>
          <w:i w:val="false"/>
          <w:caps w:val="false"/>
          <w:smallCaps w:val="false"/>
          <w:sz w:val="20"/>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SECURITIES EXCHANGE ACT OF 1934</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month of July 2026</w:t>
      </w:r>
    </w:p>
    <w:p>
      <w:pPr>
        <w:pStyle w:val="TextBody"/>
        <w:bidi w:val="0"/>
        <w:spacing w:before="0" w:after="0"/>
        <w:jc w:val="center"/>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 File Number: 001-41611</w:t>
      </w:r>
    </w:p>
    <w:p>
      <w:pPr>
        <w:pStyle w:val="TextBody"/>
        <w:bidi w:val="0"/>
        <w:spacing w:before="0" w:after="0"/>
        <w:jc w:val="center"/>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Hesai Group</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10th Floor, Building A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658 Zhaohua Road, Changning District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Shanghai 200050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People’s Republic of China</w:t>
        <w:br/>
        <w:t>(Address of principal executive offices)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of Form 20-F or Form 40-F.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Form 20-F   ☒</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000000"/>
          <w:sz w:val="20"/>
        </w:rPr>
        <w:t>    Form 40-F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24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Index</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40"/>
        <w:gridCol w:w="9727"/>
      </w:tblGrid>
      <w:tr>
        <w:trPr/>
        <w:tc>
          <w:tcPr>
            <w:tcW w:w="38"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hyperlink w:anchor="tm2620203d2_ex99-1.htm">
              <w:r>
                <w:rPr>
                  <w:rStyle w:val="InternetLink"/>
                </w:rPr>
                <w:t>99.1</w:t>
              </w:r>
            </w:hyperlink>
          </w:p>
        </w:tc>
        <w:tc>
          <w:tcPr>
            <w:tcW w:w="9727" w:type="dxa"/>
            <w:tcBorders/>
            <w:vAlign w:val="center"/>
          </w:tcPr>
          <w:p>
            <w:pPr>
              <w:pStyle w:val="TableContents"/>
              <w:bidi w:val="0"/>
              <w:spacing w:before="0" w:after="283"/>
              <w:jc w:val="both"/>
              <w:rPr/>
            </w:pPr>
            <w:hyperlink w:anchor="tm2620203d2_ex99-1.htm">
              <w:r>
                <w:rPr>
                  <w:rStyle w:val="InternetLink"/>
                </w:rPr>
                <w:t>Announcement—(1) Share Subdivision Becoming Effective on July 10, 2026; and (2) Adjustments to Outstanding Share Options and RSUs</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2595" w:type="dxa"/>
        <w:jc w:val="left"/>
        <w:tblInd w:w="0" w:type="dxa"/>
        <w:tblLayout w:type="fixed"/>
        <w:tblCellMar>
          <w:top w:w="0" w:type="dxa"/>
          <w:left w:w="0" w:type="dxa"/>
          <w:bottom w:w="0" w:type="dxa"/>
          <w:right w:w="0" w:type="dxa"/>
        </w:tblCellMar>
      </w:tblPr>
      <w:tblGrid>
        <w:gridCol w:w="75"/>
        <w:gridCol w:w="485"/>
        <w:gridCol w:w="80"/>
        <w:gridCol w:w="1955"/>
      </w:tblGrid>
      <w:tr>
        <w:trPr/>
        <w:tc>
          <w:tcPr>
            <w:tcW w:w="75" w:type="dxa"/>
            <w:tcBorders/>
            <w:vAlign w:val="center"/>
          </w:tcPr>
          <w:p>
            <w:pPr>
              <w:pStyle w:val="TableContents"/>
              <w:bidi w:val="0"/>
              <w:spacing w:before="0" w:after="283"/>
              <w:jc w:val="left"/>
              <w:rPr/>
            </w:pPr>
            <w:r>
              <w:rPr/>
              <w:t> </w:t>
            </w:r>
          </w:p>
        </w:tc>
        <w:tc>
          <w:tcPr>
            <w:tcW w:w="2520" w:type="dxa"/>
            <w:gridSpan w:val="3"/>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Hesai Group</w:t>
            </w:r>
          </w:p>
        </w:tc>
      </w:tr>
      <w:tr>
        <w:trPr/>
        <w:tc>
          <w:tcPr>
            <w:tcW w:w="75" w:type="dxa"/>
            <w:tcBorders/>
            <w:vAlign w:val="center"/>
          </w:tcPr>
          <w:p>
            <w:pPr>
              <w:pStyle w:val="TableContents"/>
              <w:bidi w:val="0"/>
              <w:spacing w:before="0" w:after="283"/>
              <w:jc w:val="left"/>
              <w:rPr/>
            </w:pPr>
            <w:r>
              <w:rPr/>
              <w:t> </w:t>
            </w:r>
          </w:p>
        </w:tc>
        <w:tc>
          <w:tcPr>
            <w:tcW w:w="2520" w:type="dxa"/>
            <w:gridSpan w:val="3"/>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95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Yifan Li</w:t>
            </w:r>
          </w:p>
        </w:tc>
      </w:tr>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9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Yifan Li</w:t>
            </w:r>
          </w:p>
        </w:tc>
      </w:tr>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9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July 10,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0" w:right="20" w:hanging="0"/>
        <w:jc w:val="both"/>
        <w:rPr>
          <w:caps w:val="false"/>
          <w:smallCaps w:val="false"/>
        </w:rPr>
      </w:pPr>
      <w:bookmarkStart w:id="2" w:name="tm2620203d2_ex99-1.htm"/>
      <w:bookmarkStart w:id="3" w:name="kstm2620203d2_ex991"/>
      <w:bookmarkEnd w:id="2"/>
      <w:bookmarkEnd w:id="3"/>
      <w:r>
        <w:rPr>
          <w:caps w:val="false"/>
          <w:smallCaps w:val="false"/>
        </w:rPr>
        <w:t> </w:t>
      </w:r>
      <w:r>
        <w:br w:type="page"/>
      </w:r>
    </w:p>
    <w:p>
      <w:pPr>
        <w:pStyle w:val="TextBody"/>
        <w:bidi w:val="0"/>
        <w:spacing w:before="0" w:after="0"/>
        <w:ind w:left="20" w:right="2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99.1</w:t>
      </w:r>
    </w:p>
    <w:p>
      <w:pPr>
        <w:pStyle w:val="TextBody"/>
        <w:bidi w:val="0"/>
        <w:spacing w:before="0" w:after="0"/>
        <w:ind w:left="20" w:right="20" w:hanging="0"/>
        <w:jc w:val="both"/>
        <w:rPr>
          <w:caps w:val="false"/>
          <w:smallCaps w:val="false"/>
        </w:rPr>
      </w:pPr>
      <w:r>
        <w:rPr>
          <w:caps w:val="false"/>
          <w:smallCaps w:val="false"/>
        </w:rPr>
        <w:t> </w:t>
      </w:r>
    </w:p>
    <w:p>
      <w:pPr>
        <w:pStyle w:val="TextBody"/>
        <w:bidi w:val="0"/>
        <w:spacing w:before="0" w:after="0"/>
        <w:ind w:left="20" w:right="2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Hong Kong Exchanges and Clearing Limited and The Stock Exchange of Hong Kong Limited take no responsibility for the contents of this announcement, make no representation as to its accuracy or completeness and expressly disclaim any liability whatsoever for any loss howsoever arising from or in reliance upon the whole or any part of the contents of this announcement.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2381250" cy="523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381250" cy="523875"/>
                    </a:xfrm>
                    <a:prstGeom prst="rect">
                      <a:avLst/>
                    </a:prstGeom>
                  </pic:spPr>
                </pic:pic>
              </a:graphicData>
            </a:graphic>
          </wp:inline>
        </w:drawing>
      </w: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Hesai Group</w:t>
      </w:r>
    </w:p>
    <w:p>
      <w:pPr>
        <w:pStyle w:val="TextBody"/>
        <w:bidi w:val="0"/>
        <w:spacing w:before="0" w:after="0"/>
        <w:jc w:val="center"/>
        <w:rPr>
          <w:caps w:val="false"/>
          <w:smallCaps w:val="false"/>
        </w:rPr>
      </w:pPr>
      <w:r>
        <w:rPr>
          <w:rFonts w:eastAsia="Times New Roman;Times;Serif"/>
          <w:b/>
          <w:i w:val="false"/>
          <w:caps w:val="false"/>
          <w:smallCaps w:val="false"/>
          <w:sz w:val="20"/>
        </w:rPr>
        <w:t xml:space="preserve">禾 賽 科 技 </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(A company controlled through weighted voting rights and incorporated in the Cayman Islands with limited liability)</w:t>
      </w:r>
      <w:r>
        <w:rPr>
          <w:rFonts w:ascii="Times New Roman;Times;Serif" w:hAnsi="Times New Roman;Times;Serif"/>
          <w:b w:val="false"/>
          <w:i w:val="false"/>
          <w:caps w:val="false"/>
          <w:smallCaps w:val="false"/>
          <w:sz w:val="20"/>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(HKEX Stock Code: 2525)</w:t>
      </w:r>
      <w:r>
        <w:rPr>
          <w:rFonts w:ascii="Times New Roman;Times;Serif" w:hAnsi="Times New Roman;Times;Serif"/>
          <w:b w:val="false"/>
          <w:i w:val="false"/>
          <w:caps w:val="false"/>
          <w:smallCaps w:val="false"/>
          <w:sz w:val="20"/>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(NASDAQ Stock Ticker: HSAI)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 SHARE SUBDIVISION BECOMING EFFECTIVE ON JULY 10, 2026;</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AND</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 ADJUSTMENTS TO OUTSTANDING SHARE OPTIONS AND RSUs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References are made to the announcement, the circular (the “</w:t>
      </w:r>
      <w:r>
        <w:rPr>
          <w:rFonts w:ascii="Times New Roman;Times;Serif" w:hAnsi="Times New Roman;Times;Serif"/>
          <w:b/>
          <w:i w:val="false"/>
          <w:caps w:val="false"/>
          <w:smallCaps w:val="false"/>
          <w:sz w:val="20"/>
        </w:rPr>
        <w:t>Circular</w:t>
      </w:r>
      <w:r>
        <w:rPr>
          <w:rFonts w:ascii="Times New Roman;Times;Serif" w:hAnsi="Times New Roman;Times;Serif"/>
          <w:b w:val="false"/>
          <w:i w:val="false"/>
          <w:caps w:val="false"/>
          <w:smallCaps w:val="false"/>
          <w:sz w:val="20"/>
        </w:rPr>
        <w:t>”) and notice of the annual general meeting (the “</w:t>
      </w:r>
      <w:r>
        <w:rPr>
          <w:rFonts w:ascii="Times New Roman;Times;Serif" w:hAnsi="Times New Roman;Times;Serif"/>
          <w:b/>
          <w:i w:val="false"/>
          <w:caps w:val="false"/>
          <w:smallCaps w:val="false"/>
          <w:sz w:val="20"/>
        </w:rPr>
        <w:t>AGM</w:t>
      </w:r>
      <w:r>
        <w:rPr>
          <w:rFonts w:ascii="Times New Roman;Times;Serif" w:hAnsi="Times New Roman;Times;Serif"/>
          <w:b w:val="false"/>
          <w:i w:val="false"/>
          <w:caps w:val="false"/>
          <w:smallCaps w:val="false"/>
          <w:sz w:val="20"/>
        </w:rPr>
        <w:t>”) of Hesai Group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each dated May 26, 2026, in relation to, among others, the Share Subdivision, and the announcement of the Company dated June 26, 2026 in respect of the poll results of the AGM. Unless otherwise required by the context, capitalized terms used in this announcement shall have the same meanings as defined in the Circular.</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 SUBDIVISION BECOMING EFFECTIVE ON JULY 10, 2026</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is pleased to announce that all the conditions of the Share Subdivision have been fulfilled and the Share Subdivision has become effective on Friday, July 10, 2026 (the “</w:t>
      </w:r>
      <w:r>
        <w:rPr>
          <w:rFonts w:ascii="Times New Roman;Times;Serif" w:hAnsi="Times New Roman;Times;Serif"/>
          <w:b/>
          <w:i w:val="false"/>
          <w:caps w:val="false"/>
          <w:smallCaps w:val="false"/>
          <w:sz w:val="20"/>
        </w:rPr>
        <w:t>Effective Date</w:t>
      </w:r>
      <w:r>
        <w:rPr>
          <w:rFonts w:ascii="Times New Roman;Times;Serif" w:hAnsi="Times New Roman;Times;Serif"/>
          <w:b w:val="false"/>
          <w:i w:val="false"/>
          <w:caps w:val="false"/>
          <w:smallCaps w:val="false"/>
          <w:sz w:val="20"/>
        </w:rPr>
        <w:t>”). Dealing in the Subdivided Class B Ordinary Shares on the Hong Kong Stock Exchange commences at 9:00 a.m. on Friday, July 10, 2026.</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Please refer to the Circular for further details of, among others, the trading arrangement, the arrangement for free exchange of Share certificates and matching services for odd lots of the Subdivided Class B Ordinary Shares in connection with the Share Subdivision. Shareholders should note that upon the Share Subdivision becoming effective, the new share certificates of the Subdivided Class B Ordinary Shares will be issued in yellow colour.</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Share Subdivision becoming effective, the Existing Share Certificates for the Shares will only be valid for delivery, trading and settlement purposes for the period up to 4:10 p.m. on Monday, August 17, 2026 and thereafter will not be accepted for delivery, trading and settlement purposes. However, the Existing Share Certificates will continue to be good evidence of legal title and may be exchanged for Subdivided Share Certificates for the Subdivided Shares at any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CHANGE IN BOARD LOT SIZE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the Share Subdivision becoming effective, the Change in Board Lot Size will come into effect on Friday, July 10, 2026. The board lot size of the Class B Ordinary Shares for trading on the Hong Kong Stock Exchange will be changed from 20 existing Class B Ordinary Shares to 100 Subdivided Class B Ordinary Shares. There will be a temporary counter open for trading in temporary board lot of 160 Subdivided Class B Ordinary Shares (in the form of Existing Share Certificates) between 9:00 a.m. on Friday, July 10, 2026 and 4:10 p.m. on Thursday, August 13, 2026. For details of the trading arrangement, please refer to the Circular and the expected timetable therein.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ADJUSTMENTS TO OUTSTANDING SHARE OPTIONS AND RSUs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the Share Subdivision becoming effective, there were (i) 7,717,032 outstanding share options granted under the 2021 Plan to subscribe for an aggregate of 7,717,032 existing Class B Ordinary Shares; and (ii) 2,186,853 outstanding RSUs granted under the 2021 Plan representing an aggregate of 2,186,853 underlying existing Class B Ordinary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Share Subdivision becoming effective, (i) pro-rata adjustments will be made to the exercise prices and the number of outstanding share options and the number of outstanding RSUs which have been granted under the 2021 Plan; and (ii) there will be (a) 61,736,256 outstanding share options granted under the 2021 Plan to subscribe for an aggregate of 61,736,256 Subdivided Class B Ordinary Shares, and (b) 17,494,824 outstanding RSUs granted under the 2021 Plan representing an aggregate of 17,494,824 underlying Subdivided Class B Ordinary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Details of the adjustments to the outstanding share options and the RSUs to be made upon the Share Subdivision becoming effective on Friday, July 10, 2026 are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Adjustments to the Outstanding Share Options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terms and conditions of the 2021 Plan, the exercise price and the number of the outstanding share options granted under the 2021 Plan have been adjusted in the following manner with effect from the Effective Date: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71"/>
        <w:gridCol w:w="60"/>
        <w:gridCol w:w="2352"/>
        <w:gridCol w:w="60"/>
        <w:gridCol w:w="60"/>
        <w:gridCol w:w="1586"/>
        <w:gridCol w:w="60"/>
        <w:gridCol w:w="60"/>
        <w:gridCol w:w="1183"/>
        <w:gridCol w:w="60"/>
        <w:gridCol w:w="60"/>
        <w:gridCol w:w="1507"/>
        <w:gridCol w:w="60"/>
        <w:gridCol w:w="60"/>
        <w:gridCol w:w="1488"/>
        <w:gridCol w:w="78"/>
      </w:tblGrid>
      <w:tr>
        <w:trPr/>
        <w:tc>
          <w:tcPr>
            <w:tcW w:w="1471"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2352"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2889" w:type="dxa"/>
            <w:gridSpan w:val="4"/>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Before adjustments</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3115" w:type="dxa"/>
            <w:gridSpan w:val="4"/>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After adjustments</w:t>
            </w:r>
          </w:p>
        </w:tc>
        <w:tc>
          <w:tcPr>
            <w:tcW w:w="78"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1471"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2352"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586"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 of Existing</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pPr>
            <w:r>
              <w:rPr/>
              <w:t> </w:t>
            </w:r>
          </w:p>
        </w:tc>
        <w:tc>
          <w:tcPr>
            <w:tcW w:w="1183"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507"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 of</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pPr>
            <w:r>
              <w:rPr/>
              <w:t> </w:t>
            </w:r>
          </w:p>
        </w:tc>
        <w:tc>
          <w:tcPr>
            <w:tcW w:w="1488" w:type="dxa"/>
            <w:tcBorders/>
            <w:vAlign w:val="center"/>
          </w:tcPr>
          <w:p>
            <w:pPr>
              <w:pStyle w:val="TableContents"/>
              <w:bidi w:val="0"/>
              <w:spacing w:before="0" w:after="283"/>
              <w:jc w:val="center"/>
              <w:rPr/>
            </w:pPr>
            <w:r>
              <w:rPr/>
              <w:t> </w:t>
            </w:r>
          </w:p>
        </w:tc>
        <w:tc>
          <w:tcPr>
            <w:tcW w:w="78" w:type="dxa"/>
            <w:tcBorders/>
            <w:vAlign w:val="center"/>
          </w:tcPr>
          <w:p>
            <w:pPr>
              <w:pStyle w:val="TableContents"/>
              <w:bidi w:val="0"/>
              <w:spacing w:before="0" w:after="283"/>
              <w:jc w:val="center"/>
              <w:rPr/>
            </w:pPr>
            <w:r>
              <w:rPr/>
              <w:t> </w:t>
            </w:r>
          </w:p>
        </w:tc>
      </w:tr>
      <w:tr>
        <w:trPr/>
        <w:tc>
          <w:tcPr>
            <w:tcW w:w="1471"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2352"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586"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Class B Ordinary</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83"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Exercise price</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507"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Subdivided Shares</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488"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Exercise price per</w:t>
            </w:r>
          </w:p>
        </w:tc>
        <w:tc>
          <w:tcPr>
            <w:tcW w:w="78"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1471"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2352"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586"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Shares to be issued</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83"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 Existing</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507"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 be issued upon</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488"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Subdivided</w:t>
            </w:r>
          </w:p>
        </w:tc>
        <w:tc>
          <w:tcPr>
            <w:tcW w:w="78"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1471"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2352"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586"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upon exercise of</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83"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Class B</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507"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exercise of</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488"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Class B</w:t>
            </w:r>
          </w:p>
        </w:tc>
        <w:tc>
          <w:tcPr>
            <w:tcW w:w="78"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1471"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2352"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586"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outstanding</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83"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Ordinary</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507"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outstanding</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488"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Ordinary</w:t>
            </w:r>
          </w:p>
        </w:tc>
        <w:tc>
          <w:tcPr>
            <w:tcW w:w="78"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1471"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Grantees</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2352"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Date of Grant</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586"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 options</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83"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 (US$)</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507"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 options</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488"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 (US$)</w:t>
            </w:r>
          </w:p>
        </w:tc>
        <w:tc>
          <w:tcPr>
            <w:tcW w:w="78"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147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Cailian Yang</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35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July 3, 2021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8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181,042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8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0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1,448,336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8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0.2625</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147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35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November 22, 2021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8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37,766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8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0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302,128</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8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0.4125</w:t>
            </w:r>
          </w:p>
        </w:tc>
        <w:tc>
          <w:tcPr>
            <w:tcW w:w="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47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35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June 5, 2023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8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30,266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8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0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242,128</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8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0.20375</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147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35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November 18, 2024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8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32,000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8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0.90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0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256,000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8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0.1125</w:t>
            </w:r>
          </w:p>
        </w:tc>
        <w:tc>
          <w:tcPr>
            <w:tcW w:w="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47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Employees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35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July 3, 2021 – August 29, 2025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8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7,435,958</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8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0.1-5.15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0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59,487,664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8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0.0125-0.64375</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1471"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352"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86"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7,717,032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83"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07"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61,736,256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88"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Adjustments to the Outstanding RSUs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terms and conditions of the 2021 Plan, the number of the outstanding RSUs granted under the 2021 Plan have been adjusted in the following manner with effect from the Effective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07"/>
        <w:gridCol w:w="60"/>
        <w:gridCol w:w="2375"/>
        <w:gridCol w:w="60"/>
        <w:gridCol w:w="60"/>
        <w:gridCol w:w="1621"/>
        <w:gridCol w:w="60"/>
        <w:gridCol w:w="60"/>
        <w:gridCol w:w="1274"/>
        <w:gridCol w:w="60"/>
        <w:gridCol w:w="60"/>
        <w:gridCol w:w="1538"/>
        <w:gridCol w:w="60"/>
        <w:gridCol w:w="60"/>
        <w:gridCol w:w="1274"/>
        <w:gridCol w:w="76"/>
      </w:tblGrid>
      <w:tr>
        <w:trPr/>
        <w:tc>
          <w:tcPr>
            <w:tcW w:w="1507"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237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3015" w:type="dxa"/>
            <w:gridSpan w:val="4"/>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Before adjustments</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2932" w:type="dxa"/>
            <w:gridSpan w:val="4"/>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After adjustments</w:t>
            </w:r>
          </w:p>
        </w:tc>
        <w:tc>
          <w:tcPr>
            <w:tcW w:w="76"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1507"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237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621"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 of Existing</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274"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Purchase Price</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538"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 of</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274"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Purchase Price</w:t>
            </w:r>
          </w:p>
        </w:tc>
        <w:tc>
          <w:tcPr>
            <w:tcW w:w="76"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1507"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237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621"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Class B Ordinary</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274"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RSUs prior</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538"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Subdivided Shares</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274"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RSUs</w:t>
            </w:r>
          </w:p>
        </w:tc>
        <w:tc>
          <w:tcPr>
            <w:tcW w:w="76"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1507"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237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621"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Shares to be issued</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274"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 the Share</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538"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 be issued upon</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274"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upon Share</w:t>
            </w:r>
          </w:p>
        </w:tc>
        <w:tc>
          <w:tcPr>
            <w:tcW w:w="76"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1507"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237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621"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upon vesting of</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274"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Subdivision</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538"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vesting of the</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274"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Subdivision</w:t>
            </w:r>
          </w:p>
        </w:tc>
        <w:tc>
          <w:tcPr>
            <w:tcW w:w="76"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1507"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237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621"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outstanding</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274"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becoming</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538"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outstanding</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274"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becoming</w:t>
            </w:r>
          </w:p>
        </w:tc>
        <w:tc>
          <w:tcPr>
            <w:tcW w:w="76"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1507"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Grantees</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237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Date of Grant</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621"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RSUs</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274"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effective</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538"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RSUs</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274"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effective</w:t>
            </w:r>
          </w:p>
        </w:tc>
        <w:tc>
          <w:tcPr>
            <w:tcW w:w="76"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1507"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Directors</w:t>
            </w:r>
          </w:p>
        </w:tc>
        <w:tc>
          <w:tcPr>
            <w:tcW w:w="60" w:type="dxa"/>
            <w:tcBorders/>
            <w:shd w:fill="CCEEFF" w:val="clear"/>
            <w:vAlign w:val="center"/>
          </w:tcPr>
          <w:p>
            <w:pPr>
              <w:pStyle w:val="TableContents"/>
              <w:bidi w:val="0"/>
              <w:spacing w:before="0" w:after="283"/>
              <w:jc w:val="center"/>
              <w:rPr/>
            </w:pPr>
            <w:r>
              <w:rPr/>
              <w:t> </w:t>
            </w:r>
          </w:p>
        </w:tc>
        <w:tc>
          <w:tcPr>
            <w:tcW w:w="237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center"/>
              <w:rPr/>
            </w:pPr>
            <w:r>
              <w:rPr/>
              <w:t> </w:t>
            </w:r>
          </w:p>
        </w:tc>
        <w:tc>
          <w:tcPr>
            <w:tcW w:w="1621"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center"/>
              <w:rPr/>
            </w:pPr>
            <w:r>
              <w:rPr/>
              <w:t> </w:t>
            </w:r>
          </w:p>
        </w:tc>
        <w:tc>
          <w:tcPr>
            <w:tcW w:w="1274"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center"/>
              <w:rPr/>
            </w:pPr>
            <w:r>
              <w:rPr/>
              <w:t> </w:t>
            </w:r>
          </w:p>
        </w:tc>
        <w:tc>
          <w:tcPr>
            <w:tcW w:w="1538"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center"/>
              <w:rPr/>
            </w:pPr>
            <w:r>
              <w:rPr/>
              <w:t> </w:t>
            </w:r>
          </w:p>
        </w:tc>
        <w:tc>
          <w:tcPr>
            <w:tcW w:w="1274" w:type="dxa"/>
            <w:tcBorders/>
            <w:shd w:fill="CCEEFF" w:val="clear"/>
            <w:vAlign w:val="center"/>
          </w:tcPr>
          <w:p>
            <w:pPr>
              <w:pStyle w:val="TableContents"/>
              <w:bidi w:val="0"/>
              <w:spacing w:before="0" w:after="283"/>
              <w:jc w:val="center"/>
              <w:rPr/>
            </w:pPr>
            <w:r>
              <w:rPr/>
              <w:t> </w:t>
            </w:r>
          </w:p>
        </w:tc>
        <w:tc>
          <w:tcPr>
            <w:tcW w:w="76" w:type="dxa"/>
            <w:tcBorders/>
            <w:shd w:fill="CCEEFF" w:val="clear"/>
            <w:vAlign w:val="center"/>
          </w:tcPr>
          <w:p>
            <w:pPr>
              <w:pStyle w:val="TableContents"/>
              <w:bidi w:val="0"/>
              <w:spacing w:before="0" w:after="283"/>
              <w:jc w:val="center"/>
              <w:rPr/>
            </w:pPr>
            <w:r>
              <w:rPr/>
              <w:t> </w:t>
            </w:r>
          </w:p>
        </w:tc>
      </w:tr>
      <w:tr>
        <w:trPr/>
        <w:tc>
          <w:tcPr>
            <w:tcW w:w="150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Yifan Li</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3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March 25, 2026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2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157,000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7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Nil</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3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1,256,000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7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Nil</w:t>
            </w:r>
          </w:p>
        </w:tc>
        <w:tc>
          <w:tcPr>
            <w:tcW w:w="7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50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Kai Sun</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3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March 25, 2026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2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157,000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7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Nil</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3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1,256,000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7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Nil</w:t>
            </w:r>
          </w:p>
        </w:tc>
        <w:tc>
          <w:tcPr>
            <w:tcW w:w="7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150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Shaoqing Xiang</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3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March 25, 2026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2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157,000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7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Nil</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3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1,256,000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7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Nil</w:t>
            </w:r>
          </w:p>
        </w:tc>
        <w:tc>
          <w:tcPr>
            <w:tcW w:w="7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50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Cailian Yang</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3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November 12, 2025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2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4,000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7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Nil</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3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32,000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7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Nil</w:t>
            </w:r>
          </w:p>
        </w:tc>
        <w:tc>
          <w:tcPr>
            <w:tcW w:w="7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150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Zhang Yi</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3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February 7, 2025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2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5,953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7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Nil</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3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47,624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7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Nil</w:t>
            </w:r>
          </w:p>
        </w:tc>
        <w:tc>
          <w:tcPr>
            <w:tcW w:w="7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50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Ren Jia</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3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November 12, 2025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2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7,116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7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Nil</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3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56,928</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7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Nil</w:t>
            </w:r>
          </w:p>
        </w:tc>
        <w:tc>
          <w:tcPr>
            <w:tcW w:w="7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150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Hui Wang</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3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March 25, 2026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2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6,565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7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Nil</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3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52,520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7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Nil</w:t>
            </w:r>
          </w:p>
        </w:tc>
        <w:tc>
          <w:tcPr>
            <w:tcW w:w="7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50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pPr>
            <w:r>
              <w:rPr/>
              <w:t> </w:t>
            </w:r>
          </w:p>
        </w:tc>
        <w:tc>
          <w:tcPr>
            <w:tcW w:w="23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2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7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74" w:type="dxa"/>
            <w:tcBorders/>
            <w:shd w:fill="CCEEFF" w:val="clear"/>
            <w:vAlign w:val="center"/>
          </w:tcPr>
          <w:p>
            <w:pPr>
              <w:pStyle w:val="TableContents"/>
              <w:bidi w:val="0"/>
              <w:spacing w:before="0" w:after="283"/>
              <w:jc w:val="right"/>
              <w:rPr/>
            </w:pPr>
            <w:r>
              <w:rPr/>
              <w:t> </w:t>
            </w:r>
          </w:p>
        </w:tc>
        <w:tc>
          <w:tcPr>
            <w:tcW w:w="76" w:type="dxa"/>
            <w:tcBorders/>
            <w:shd w:fill="CCEEFF" w:val="clear"/>
            <w:vAlign w:val="center"/>
          </w:tcPr>
          <w:p>
            <w:pPr>
              <w:pStyle w:val="TableContents"/>
              <w:bidi w:val="0"/>
              <w:spacing w:before="0" w:after="283"/>
              <w:jc w:val="left"/>
              <w:rPr/>
            </w:pPr>
            <w:r>
              <w:rPr/>
              <w:t> </w:t>
            </w:r>
          </w:p>
        </w:tc>
      </w:tr>
      <w:tr>
        <w:trPr/>
        <w:tc>
          <w:tcPr>
            <w:tcW w:w="1507"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Employees</w:t>
            </w:r>
          </w:p>
        </w:tc>
        <w:tc>
          <w:tcPr>
            <w:tcW w:w="60" w:type="dxa"/>
            <w:tcBorders/>
            <w:shd w:fill="FFFFFF" w:val="clear"/>
            <w:vAlign w:val="center"/>
          </w:tcPr>
          <w:p>
            <w:pPr>
              <w:pStyle w:val="TableContents"/>
              <w:bidi w:val="0"/>
              <w:spacing w:before="0" w:after="283"/>
              <w:jc w:val="left"/>
              <w:rPr/>
            </w:pPr>
            <w:r>
              <w:rPr/>
              <w:t> </w:t>
            </w:r>
          </w:p>
        </w:tc>
        <w:tc>
          <w:tcPr>
            <w:tcW w:w="23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21"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74"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38"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74" w:type="dxa"/>
            <w:tcBorders/>
            <w:shd w:fill="FFFFFF" w:val="clear"/>
            <w:vAlign w:val="center"/>
          </w:tcPr>
          <w:p>
            <w:pPr>
              <w:pStyle w:val="TableContents"/>
              <w:bidi w:val="0"/>
              <w:spacing w:before="0" w:after="283"/>
              <w:jc w:val="right"/>
              <w:rPr/>
            </w:pPr>
            <w:r>
              <w:rPr/>
              <w:t> </w:t>
            </w:r>
          </w:p>
        </w:tc>
        <w:tc>
          <w:tcPr>
            <w:tcW w:w="76" w:type="dxa"/>
            <w:tcBorders/>
            <w:shd w:fill="FFFFFF" w:val="clear"/>
            <w:vAlign w:val="center"/>
          </w:tcPr>
          <w:p>
            <w:pPr>
              <w:pStyle w:val="TableContents"/>
              <w:bidi w:val="0"/>
              <w:spacing w:before="0" w:after="283"/>
              <w:jc w:val="left"/>
              <w:rPr/>
            </w:pPr>
            <w:r>
              <w:rPr/>
              <w:t> </w:t>
            </w:r>
          </w:p>
        </w:tc>
      </w:tr>
      <w:tr>
        <w:trPr/>
        <w:tc>
          <w:tcPr>
            <w:tcW w:w="150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Employees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3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May 30, 2023 – June 12, 2026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2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1,692,219</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7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Nil</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3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13,537,752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7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Nil</w:t>
            </w:r>
          </w:p>
        </w:tc>
        <w:tc>
          <w:tcPr>
            <w:tcW w:w="7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1507"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375"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21"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2,186,853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74"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38"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17,494,824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74"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7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the terms and conditions of the 2021 Plan, the above adjustments in relation to the outstanding Share Options and outstanding RSUs will take effect on the Effective Date. Save for the above adjustments, all other terms and conditions of the 2021 Plan remain unchanged.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auditors have confirmed in writing that the above pro-rata adjustments made to (a) the exercise price and number of the Subdivided Class B Ordinary Shares falling to be issued upon the exercise of the outstanding share options and (b) the purchase price and number of the Subdivided Class B Ordinary Shares to be issued upon the vesting of the outstanding RSUs are (i) in accordance with the terms and conditions of the 2021 Plan; (ii) satisfy the requirements set out in the supplementary guidance under Rule 17.03(13) of the Hong Kong Listing Rules; and (iii) comply with Appendix 1 to Frequently Asked Questions FAQ13 No.1-20 published by the Stock Exchange.</w:t>
      </w:r>
    </w:p>
    <w:p>
      <w:pPr>
        <w:pStyle w:val="TextBody"/>
        <w:bidi w:val="0"/>
        <w:spacing w:before="0" w:after="0"/>
        <w:jc w:val="left"/>
        <w:rPr>
          <w:caps w:val="false"/>
          <w:smallCaps w:val="false"/>
        </w:rPr>
      </w:pPr>
      <w:r>
        <w:rPr>
          <w:caps w:val="false"/>
          <w:smallCaps w:val="false"/>
        </w:rPr>
        <w:t> </w:t>
      </w:r>
    </w:p>
    <w:tbl>
      <w:tblPr>
        <w:tblW w:w="3665" w:type="dxa"/>
        <w:jc w:val="left"/>
        <w:tblInd w:w="0" w:type="dxa"/>
        <w:tblLayout w:type="fixed"/>
        <w:tblCellMar>
          <w:top w:w="0" w:type="dxa"/>
          <w:left w:w="0" w:type="dxa"/>
          <w:bottom w:w="0" w:type="dxa"/>
          <w:right w:w="0" w:type="dxa"/>
        </w:tblCellMar>
      </w:tblPr>
      <w:tblGrid>
        <w:gridCol w:w="75"/>
        <w:gridCol w:w="3590"/>
      </w:tblGrid>
      <w:tr>
        <w:trPr/>
        <w:tc>
          <w:tcPr>
            <w:tcW w:w="75" w:type="dxa"/>
            <w:tcBorders/>
            <w:vAlign w:val="center"/>
          </w:tcPr>
          <w:p>
            <w:pPr>
              <w:pStyle w:val="TableContents"/>
              <w:bidi w:val="0"/>
              <w:spacing w:before="0" w:after="283"/>
              <w:jc w:val="left"/>
              <w:rPr/>
            </w:pPr>
            <w:r>
              <w:rPr/>
              <w:t> </w:t>
            </w:r>
          </w:p>
        </w:tc>
        <w:tc>
          <w:tcPr>
            <w:tcW w:w="359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order of the Board </w:t>
            </w:r>
          </w:p>
        </w:tc>
      </w:tr>
      <w:tr>
        <w:trPr/>
        <w:tc>
          <w:tcPr>
            <w:tcW w:w="75" w:type="dxa"/>
            <w:tcBorders/>
            <w:vAlign w:val="center"/>
          </w:tcPr>
          <w:p>
            <w:pPr>
              <w:pStyle w:val="TableContents"/>
              <w:bidi w:val="0"/>
              <w:spacing w:before="0" w:after="283"/>
              <w:jc w:val="left"/>
              <w:rPr/>
            </w:pPr>
            <w:r>
              <w:rPr/>
              <w:t> </w:t>
            </w:r>
          </w:p>
        </w:tc>
        <w:tc>
          <w:tcPr>
            <w:tcW w:w="359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Hesai Group </w:t>
            </w:r>
          </w:p>
        </w:tc>
      </w:tr>
      <w:tr>
        <w:trPr/>
        <w:tc>
          <w:tcPr>
            <w:tcW w:w="75" w:type="dxa"/>
            <w:tcBorders/>
            <w:vAlign w:val="center"/>
          </w:tcPr>
          <w:p>
            <w:pPr>
              <w:pStyle w:val="TableContents"/>
              <w:bidi w:val="0"/>
              <w:spacing w:before="0" w:after="283"/>
              <w:jc w:val="left"/>
              <w:rPr/>
            </w:pPr>
            <w:r>
              <w:rPr/>
              <w:t> </w:t>
            </w:r>
          </w:p>
        </w:tc>
        <w:tc>
          <w:tcPr>
            <w:tcW w:w="359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Dr. Yifan Li </w:t>
            </w:r>
          </w:p>
        </w:tc>
      </w:tr>
      <w:tr>
        <w:trPr/>
        <w:tc>
          <w:tcPr>
            <w:tcW w:w="75" w:type="dxa"/>
            <w:tcBorders/>
            <w:vAlign w:val="center"/>
          </w:tcPr>
          <w:p>
            <w:pPr>
              <w:pStyle w:val="TableContents"/>
              <w:bidi w:val="0"/>
              <w:spacing w:before="0" w:after="283"/>
              <w:jc w:val="left"/>
              <w:rPr/>
            </w:pPr>
            <w:r>
              <w:rPr/>
              <w:t> </w:t>
            </w:r>
          </w:p>
        </w:tc>
        <w:tc>
          <w:tcPr>
            <w:tcW w:w="3590" w:type="dxa"/>
            <w:tcBorders/>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Chairman of the Board, Executive Director </w:t>
            </w:r>
          </w:p>
        </w:tc>
      </w:tr>
      <w:tr>
        <w:trPr/>
        <w:tc>
          <w:tcPr>
            <w:tcW w:w="75" w:type="dxa"/>
            <w:tcBorders/>
            <w:vAlign w:val="center"/>
          </w:tcPr>
          <w:p>
            <w:pPr>
              <w:pStyle w:val="TableContents"/>
              <w:bidi w:val="0"/>
              <w:spacing w:before="0" w:after="283"/>
              <w:jc w:val="left"/>
              <w:rPr/>
            </w:pPr>
            <w:r>
              <w:rPr/>
              <w:t> </w:t>
            </w:r>
          </w:p>
        </w:tc>
        <w:tc>
          <w:tcPr>
            <w:tcW w:w="3590" w:type="dxa"/>
            <w:tcBorders/>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and Chief Executive Officer</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Hong Kong, July 10, 2026</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As at the date of this announcement, the Board comprises: (i) Dr. Yifan Li, Dr. Kai Sun, Mr. Shaoqing Xiang and Ms. Cailian Yang as the executive Directors; and (ii) Ms. Yi Zhang, Mr. Jia Ren and Dr. Hui Wang as the independent non-executive Directors.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w:t>
      </w:r>
      <w:r>
        <w:rPr>
          <w:rFonts w:ascii="Times New Roman;Times;Serif" w:hAnsi="Times New Roman;Times;Serif"/>
          <w:b w:val="false"/>
          <w:i/>
          <w:caps w:val="false"/>
          <w:smallCaps w:val="false"/>
          <w:sz w:val="20"/>
        </w:rPr>
        <w:t>For identification purposes only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1418</Words>
  <Characters>7335</Characters>
  <CharactersWithSpaces>9007</CharactersWithSpaces>
  <Paragraphs>649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