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266065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289560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SECURITIES AND EXCHANGE COMMISSION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FORM 6-K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 UNDER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THE SECURITIES EXCHANGE ACT OF 1934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4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 the month of April 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2684780</wp:posOffset>
            </wp:positionH>
            <wp:positionV relativeFrom="paragraph">
              <wp:posOffset>132715</wp:posOffset>
            </wp:positionV>
            <wp:extent cx="179832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Commission File Number: 001-41611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2684780</wp:posOffset>
            </wp:positionH>
            <wp:positionV relativeFrom="paragraph">
              <wp:posOffset>132715</wp:posOffset>
            </wp:positionV>
            <wp:extent cx="179832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Hesai Group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10th Floor, Building A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No. 658 Zhaohua Road, Changning District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Shanghai 200050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People’s Republic of China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offices)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900"/>
        <w:spacing w:after="0" w:line="138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Form 20-F   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    Form 40-F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149860</wp:posOffset>
            </wp:positionV>
            <wp:extent cx="7174865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167640</wp:posOffset>
            </wp:positionV>
            <wp:extent cx="7174865" cy="120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497205</wp:posOffset>
            </wp:positionV>
            <wp:extent cx="7174865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654" w:right="1440" w:bottom="1440" w:gutter="0" w:footer="0" w:header="0"/>
        </w:sectPr>
      </w:pPr>
    </w:p>
    <w:bookmarkStart w:id="1" w:name="page2"/>
    <w:bookmarkEnd w:id="1"/>
    <w:p>
      <w:pPr>
        <w:ind w:left="5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Index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u w:val="single" w:color="auto"/>
          <w:color w:val="0000EE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u w:val="single" w:color="auto"/>
          <w:color w:val="0000EE"/>
        </w:rPr>
        <w:t>Monthly Return of Equity Issuer on Movements in Securities for the month ended 31 March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309880</wp:posOffset>
            </wp:positionV>
            <wp:extent cx="717486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663" w:right="1440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Hesai Group</w:t>
            </w:r>
          </w:p>
        </w:tc>
        <w:tc>
          <w:tcPr>
            <w:tcW w:w="4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97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Yifan Li</w:t>
            </w:r>
          </w:p>
        </w:tc>
      </w:tr>
      <w:tr>
        <w:trPr>
          <w:trHeight w:val="126"/>
        </w:trPr>
        <w:tc>
          <w:tcPr>
            <w:tcW w:w="4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38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Yifan Li</w:t>
            </w:r>
          </w:p>
        </w:tc>
      </w:tr>
      <w:tr>
        <w:trPr>
          <w:trHeight w:val="160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Chief Executive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April 10,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309880</wp:posOffset>
            </wp:positionV>
            <wp:extent cx="7174865" cy="571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63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104775</wp:posOffset>
            </wp:positionV>
            <wp:extent cx="6885940" cy="511746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282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2026-04-10T07:41:31Z</dcterms:created>
  <dcterms:modified xsi:type="dcterms:W3CDTF">2026-04-10T07:41:31Z</dcterms:modified>
</cp:coreProperties>
</file>