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039d1_6k.htm"/>
      <w:bookmarkStart w:id="1" w:name="kstm2620039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440"/>
        <w:gridCol w:w="7565"/>
      </w:tblGrid>
      <w:tr>
        <w:trPr/>
        <w:tc>
          <w:tcPr>
            <w:tcW w:w="440" w:type="dxa"/>
            <w:tcBorders/>
            <w:vAlign w:val="center"/>
          </w:tcPr>
          <w:p>
            <w:pPr>
              <w:pStyle w:val="TableContents"/>
              <w:bidi w:val="0"/>
              <w:spacing w:before="0" w:after="283"/>
              <w:jc w:val="left"/>
              <w:rPr/>
            </w:pPr>
            <w:hyperlink w:anchor="tm2620039d1_ex99-1.htm">
              <w:r>
                <w:rPr>
                  <w:rStyle w:val="InternetLink"/>
                </w:rPr>
                <w:t>99.1</w:t>
              </w:r>
            </w:hyperlink>
          </w:p>
        </w:tc>
        <w:tc>
          <w:tcPr>
            <w:tcW w:w="7565" w:type="dxa"/>
            <w:tcBorders/>
            <w:vAlign w:val="center"/>
          </w:tcPr>
          <w:p>
            <w:pPr>
              <w:pStyle w:val="TableContents"/>
              <w:bidi w:val="0"/>
              <w:spacing w:before="0" w:after="283"/>
              <w:jc w:val="left"/>
              <w:rPr/>
            </w:pPr>
            <w:hyperlink w:anchor="tm2620039d1_ex99-1.htm">
              <w:r>
                <w:rPr>
                  <w:rStyle w:val="InternetLink"/>
                </w:rPr>
                <w:t>Announcement—Record Date for 2026 Second Extraordinary General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Hesai Group</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pPr>
            <w:r>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sz w:val="20"/>
        </w:rPr>
      </w:pPr>
      <w:bookmarkStart w:id="2" w:name="tm2620039d1_ex99-1.htm"/>
      <w:bookmarkStart w:id="3" w:name="kstm2620039d1_ex991"/>
      <w:bookmarkEnd w:id="2"/>
      <w:bookmarkEnd w:id="3"/>
      <w:r>
        <w:rPr>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76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FOR 2026 SECOND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second extraordinary general meeting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proposed to be convened and held on Friday, August 28, 2026, Hong Kong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announces that the record date for the purpose of determining the eligibility of the holders of the Class A ordinary shares and/or Class B ordinary shares of the Company, each with a par value US$0.0001 per share (with a par value of US$0.0000125 per subdivided share after the Share Subdivision as defined in the circular of the Company dated 26 May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to vote and attend the forthcoming EGM will be as of the close of business on Thursday, July 23, 2026, Hong Kong time (the “</w:t>
      </w:r>
      <w:r>
        <w:rPr>
          <w:rFonts w:ascii="Times New Roman;Times;Serif" w:hAnsi="Times New Roman;Times;Serif"/>
          <w:b/>
          <w:i w:val="false"/>
          <w:caps w:val="false"/>
          <w:smallCaps w:val="false"/>
          <w:sz w:val="20"/>
        </w:rPr>
        <w:t>Share Record Date</w:t>
      </w:r>
      <w:r>
        <w:rPr>
          <w:rFonts w:ascii="Times New Roman;Times;Serif" w:hAnsi="Times New Roman;Times;Serif"/>
          <w:b w:val="false"/>
          <w:i w:val="false"/>
          <w:caps w:val="false"/>
          <w:smallCaps w:val="false"/>
          <w:sz w:val="20"/>
        </w:rPr>
        <w:t>”). Holders of the Company’s Class A ordinary shares and/or Class B ordinary shares as of the Share Record Date are entitled to attend and vote at the forthcoming EGM and any adjourned meeting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 eligible to vote and attend the EGM,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Maples Fund Services (Cayman) Limited, at PO Box 1093, Boundary Hall, Cricket Square, Grand Cayman, KY1-1102, Cayman Islands, before 4:30 p.m., Cayman Islands time, on Wednesday, July 22, 2026 (due to the time difference between Cayman Islands and Hong Kong); and persons who hold the Company’s Class B ordinary shares directly on our Hong Kong register of members should ensure that all valid transfer documents, accompanied by the relevant share certificates, are lodged with our branch share registrar in Hong Kong, Tricor Investor Services Limited, at 17/F, Far East Finance Centre, 16 Harcourt Road, Hong Kong before 4:30 p.m., on Thursday, July 23, 2026, Hong Kong time.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American Depositary Shares, each representing one Class B ordinary share of the Company (each representing eight Class B ordinary shares of the Company after the Share Subdivision and ADS Ratio Change as defined in the Circular)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as of the close of business on Thursday, July 23, 2026, New York time (the “</w:t>
      </w:r>
      <w:r>
        <w:rPr>
          <w:rFonts w:ascii="Times New Roman;Times;Serif" w:hAnsi="Times New Roman;Times;Serif"/>
          <w:b/>
          <w:i w:val="false"/>
          <w:caps w:val="false"/>
          <w:smallCaps w:val="false"/>
          <w:sz w:val="20"/>
        </w:rPr>
        <w:t>ADS Record Date</w:t>
      </w:r>
      <w:r>
        <w:rPr>
          <w:rFonts w:ascii="Times New Roman;Times;Serif" w:hAnsi="Times New Roman;Times;Serif"/>
          <w:b w:val="false"/>
          <w:i w:val="false"/>
          <w:caps w:val="false"/>
          <w:smallCaps w:val="false"/>
          <w:sz w:val="20"/>
        </w:rPr>
        <w:t>”) who wish to exercise their voting rights for the underlying Class B ordinary shares must give voting instructions to Deutsche Bank Trust Company Americas, the depositary of the ADSs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Please be aware that, because of the time difference between Hong Kong and New York, any ADS holders that cancel their ADSs in exchange for Class B ordinary shares on Thursday, July 23, 2026, New York time will no longer be ADS holders with respect to such cancelled ADSs as of the ADS Record Date and will not be able to instruct the Depositary as to how to vote the Class B ordinary shares represented by such cancelled ADSs as described above; such ADS holders will also not be holders of the Class B ordinary shares represented by such cancelled ADSs as of the Share Record Date for the purpose of determining the eligibility to attend and vote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including the meeting date and location of the EGM, will be set out in the circular and the notice of such meeting to be issued by the Company in due course.</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tc>
      </w:tr>
      <w:tr>
        <w:trPr/>
        <w:tc>
          <w:tcPr>
            <w:tcW w:w="75"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w:t>
            </w:r>
          </w:p>
        </w:tc>
      </w:tr>
      <w:tr>
        <w:trPr/>
        <w:tc>
          <w:tcPr>
            <w:tcW w:w="75"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For identification purpose only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899</Words>
  <Characters>4464</Characters>
  <CharactersWithSpaces>5390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