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Hesai Group</w:t>
      </w:r>
    </w:p>
    <w:p>
      <w:pPr>
        <w:spacing w:after="0" w:line="23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10th Floor, Building A</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No. 658 Zhaohua Road, Changning District</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Shanghai 200050</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Announcement – Poll Results of the Annual General Meeting Held on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Yifan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Yifan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123190</wp:posOffset>
            </wp:positionV>
            <wp:extent cx="210883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88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Hesai Group</w:t>
      </w:r>
    </w:p>
    <w:p>
      <w:pPr>
        <w:spacing w:after="0" w:line="31" w:lineRule="exact"/>
        <w:rPr>
          <w:sz w:val="20"/>
          <w:szCs w:val="20"/>
          <w:color w:val="auto"/>
        </w:rPr>
      </w:pPr>
    </w:p>
    <w:p>
      <w:pPr>
        <w:ind w:left="5140"/>
        <w:spacing w:after="0" w:line="219" w:lineRule="exact"/>
        <w:rPr>
          <w:sz w:val="20"/>
          <w:szCs w:val="20"/>
          <w:color w:val="auto"/>
        </w:rPr>
      </w:pPr>
      <w:r>
        <w:rPr>
          <w:rFonts w:ascii="PMingLiU" w:cs="PMingLiU" w:eastAsia="PMingLiU" w:hAnsi="PMingLiU"/>
          <w:sz w:val="18"/>
          <w:szCs w:val="18"/>
          <w:color w:val="auto"/>
          <w:highlight w:val="black"/>
        </w:rPr>
        <w:t>禾 賽 科 技</w:t>
      </w:r>
      <w:r>
        <w:rPr>
          <w:rFonts w:ascii="Times New Roman" w:cs="Times New Roman" w:eastAsia="Times New Roman" w:hAnsi="Times New Roman"/>
          <w:sz w:val="18"/>
          <w:szCs w:val="18"/>
          <w:b w:val="1"/>
          <w:bCs w:val="1"/>
          <w:color w:val="auto"/>
        </w:rPr>
        <w:t xml:space="preserve"> *</w:t>
      </w:r>
    </w:p>
    <w:p>
      <w:pPr>
        <w:spacing w:after="0" w:line="1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(HKEX Stock Code: 2525)</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(NASDAQ Stock Ticker: HSAI)</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POLL RESULTS OF THE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HELD ON JUNE 26, 2026</w:t>
      </w:r>
    </w:p>
    <w:p>
      <w:pPr>
        <w:spacing w:after="0" w:line="2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color w:val="auto"/>
        </w:rPr>
        <w:t>References are made to the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and notice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Hesai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dated May 26, 2026. Unless otherwise required by the context, capitalized terms used in this announcement shall have the same meanings as defined in the Circular and the Notice.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POLL RESULTS OF THE AGM</w:t>
      </w:r>
    </w:p>
    <w:p>
      <w:pPr>
        <w:spacing w:after="0" w:line="22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pleased to announce that the AGM was held at No. 28, Ciyun Road, Yangcheng Lake Peninsula, Weiting Town, Suzhou Industrial Park, Jiangsu Province, the People’s Republic of China on Friday, June 26, 2026 at 1:30 p.m.(Beijing time).</w:t>
      </w:r>
    </w:p>
    <w:p>
      <w:pPr>
        <w:spacing w:after="0" w:line="15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All resolutions proposed at the AGM have been duly passed as ordinary resolutions. As of the Share Record Date, the total number of issued Shares was 157,142,211 Shares, comprising 26,998,861 Class A Ordinary Shares and 130,143,350 Class B Ordinary Shares, which was the total number of Shares entitling Shareholders to attend and vote in favour of, against or in abstention on the resolutions proposed at the AGM. There was no Shareholder who was required to abstain from voting under the Listing Rules on any resolution proposed at the AGM, nor any Shareholder who was entitled to attend the AGM but was required to abstain from voting in favour of any resolution proposed at the AGM pursuant to Rule 13.40 of the Listing Rules. No Shareholder has indicated in the Circular that he or she intends to vote against or in abstention in respect of any resolution proposed at the AGM.</w:t>
      </w:r>
    </w:p>
    <w:p>
      <w:pPr>
        <w:spacing w:after="0" w:line="18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Accordingly, the total number of Shares entitling the holder to attend and vote on the resolutions numbered 1 to 7 proposed at the AGM was 157,142,211 Shares, comprising 26,998,861 Class A Ordinary Shares and 130,143,350 Class B Ordinary Shares.</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As at the date of this announcement, there were (i) no treasury shares held by the Company (including any treasury shares held or deposited with CCASS), and (ii) no repurchased Shares which are pending cancellation and should be excluded from the total number of issued Shares for the purpose of the AGM.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60"/>
        <w:spacing w:after="0" w:line="266" w:lineRule="auto"/>
        <w:rPr>
          <w:sz w:val="20"/>
          <w:szCs w:val="20"/>
          <w:color w:val="auto"/>
        </w:rPr>
      </w:pPr>
      <w:r>
        <w:rPr>
          <w:rFonts w:ascii="Times New Roman" w:cs="Times New Roman" w:eastAsia="Times New Roman" w:hAnsi="Times New Roman"/>
          <w:sz w:val="18"/>
          <w:szCs w:val="18"/>
          <w:color w:val="auto"/>
        </w:rPr>
        <w:t>Treasury shares, if any,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According to the Company’s third amended and restated memorandum and articles of association (the “</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00" w:right="2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resolutions numbered 1, 2(a)(i), 2(b), 4, 5, 6 and 7, each Class A Ordinary Share shall entitle its holder to ten votes and each Class B Ordinary Share shall entitle its holder to one vote on a poll at the AGM;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resolutions numbered 2(a)(ii), 2(a)(iii) and 3, each Class A Ordinary Share shall entitle its holder to one vote and each Class B Ordinary Share shall entitle its holder to one vote on a poll at the AGM.</w:t>
      </w:r>
    </w:p>
    <w:p>
      <w:pPr>
        <w:spacing w:after="0" w:line="162"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the Listing Rules, voting on the resolutions proposed at the AGM was conducted by way of poll. The voting results in respect of the resolutions proposed at the AGM are set out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0" w:type="dxa"/>
            <w:vAlign w:val="bottom"/>
            <w:tcBorders>
              <w:top w:val="single" w:sz="8" w:color="231F20"/>
              <w:left w:val="single" w:sz="8" w:color="231F20"/>
            </w:tcBorders>
          </w:tcPr>
          <w:p>
            <w:pPr>
              <w:spacing w:after="0"/>
              <w:rPr>
                <w:sz w:val="18"/>
                <w:szCs w:val="18"/>
                <w:color w:val="auto"/>
              </w:rPr>
            </w:pPr>
          </w:p>
        </w:tc>
        <w:tc>
          <w:tcPr>
            <w:tcW w:w="3940" w:type="dxa"/>
            <w:vAlign w:val="bottom"/>
            <w:tcBorders>
              <w:top w:val="single" w:sz="8" w:color="231F20"/>
            </w:tcBorders>
          </w:tcPr>
          <w:p>
            <w:pPr>
              <w:spacing w:after="0"/>
              <w:rPr>
                <w:sz w:val="18"/>
                <w:szCs w:val="18"/>
                <w:color w:val="auto"/>
              </w:rPr>
            </w:pPr>
          </w:p>
        </w:tc>
        <w:tc>
          <w:tcPr>
            <w:tcW w:w="1140" w:type="dxa"/>
            <w:vAlign w:val="bottom"/>
            <w:tcBorders>
              <w:top w:val="single" w:sz="8" w:color="231F20"/>
              <w:right w:val="single" w:sz="8" w:color="231F20"/>
            </w:tcBorders>
          </w:tcPr>
          <w:p>
            <w:pPr>
              <w:spacing w:after="0"/>
              <w:rPr>
                <w:sz w:val="18"/>
                <w:szCs w:val="18"/>
                <w:color w:val="auto"/>
              </w:rPr>
            </w:pPr>
          </w:p>
        </w:tc>
        <w:tc>
          <w:tcPr>
            <w:tcW w:w="348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VOTES CAST AND</w:t>
            </w:r>
          </w:p>
        </w:tc>
        <w:tc>
          <w:tcPr>
            <w:tcW w:w="11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120" w:type="dxa"/>
            <w:vAlign w:val="bottom"/>
            <w:tcBorders>
              <w:top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tcBorders>
          </w:tcPr>
          <w:p>
            <w:pPr>
              <w:spacing w:after="0"/>
              <w:rPr>
                <w:sz w:val="18"/>
                <w:szCs w:val="18"/>
                <w:color w:val="auto"/>
              </w:rPr>
            </w:pPr>
          </w:p>
        </w:tc>
        <w:tc>
          <w:tcPr>
            <w:tcW w:w="3940" w:type="dxa"/>
            <w:vAlign w:val="bottom"/>
          </w:tcPr>
          <w:p>
            <w:pPr>
              <w:spacing w:after="0"/>
              <w:rPr>
                <w:sz w:val="18"/>
                <w:szCs w:val="18"/>
                <w:color w:val="auto"/>
              </w:rPr>
            </w:pPr>
          </w:p>
        </w:tc>
        <w:tc>
          <w:tcPr>
            <w:tcW w:w="1140" w:type="dxa"/>
            <w:vAlign w:val="bottom"/>
            <w:tcBorders>
              <w:right w:val="single" w:sz="8" w:color="231F20"/>
            </w:tcBorders>
          </w:tcPr>
          <w:p>
            <w:pPr>
              <w:spacing w:after="0"/>
              <w:rPr>
                <w:sz w:val="18"/>
                <w:szCs w:val="18"/>
                <w:color w:val="auto"/>
              </w:rPr>
            </w:pPr>
          </w:p>
        </w:tc>
        <w:tc>
          <w:tcPr>
            <w:tcW w:w="3480" w:type="dxa"/>
            <w:vAlign w:val="bottom"/>
            <w:tcBorders>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tcBorders>
          </w:tcPr>
          <w:p>
            <w:pPr>
              <w:spacing w:after="0"/>
              <w:rPr>
                <w:sz w:val="18"/>
                <w:szCs w:val="18"/>
                <w:color w:val="auto"/>
              </w:rPr>
            </w:pPr>
          </w:p>
        </w:tc>
        <w:tc>
          <w:tcPr>
            <w:tcW w:w="3940" w:type="dxa"/>
            <w:vAlign w:val="bottom"/>
          </w:tcPr>
          <w:p>
            <w:pPr>
              <w:spacing w:after="0"/>
              <w:rPr>
                <w:sz w:val="18"/>
                <w:szCs w:val="18"/>
                <w:color w:val="auto"/>
              </w:rPr>
            </w:pPr>
          </w:p>
        </w:tc>
        <w:tc>
          <w:tcPr>
            <w:tcW w:w="1140" w:type="dxa"/>
            <w:vAlign w:val="bottom"/>
            <w:tcBorders>
              <w:right w:val="single" w:sz="8" w:color="231F20"/>
            </w:tcBorders>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231F20"/>
            </w:tcBorders>
          </w:tcPr>
          <w:p>
            <w:pPr>
              <w:spacing w:after="0"/>
              <w:rPr>
                <w:sz w:val="20"/>
                <w:szCs w:val="20"/>
                <w:color w:val="auto"/>
              </w:rPr>
            </w:pPr>
          </w:p>
        </w:tc>
        <w:tc>
          <w:tcPr>
            <w:tcW w:w="39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140" w:type="dxa"/>
            <w:vAlign w:val="bottom"/>
            <w:tcBorders>
              <w:right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VOTES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360" w:type="dxa"/>
            <w:vAlign w:val="bottom"/>
            <w:tcBorders>
              <w:left w:val="single" w:sz="8" w:color="231F20"/>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231F20"/>
            </w:tcBorders>
          </w:tcPr>
          <w:p>
            <w:pPr>
              <w:spacing w:after="0"/>
              <w:rPr>
                <w:sz w:val="24"/>
                <w:szCs w:val="24"/>
                <w:color w:val="auto"/>
              </w:rPr>
            </w:pPr>
          </w:p>
        </w:tc>
        <w:tc>
          <w:tcPr>
            <w:tcW w:w="1220" w:type="dxa"/>
            <w:vAlign w:val="bottom"/>
            <w:tcBorders>
              <w:bottom w:val="single" w:sz="8" w:color="auto"/>
              <w:right w:val="single" w:sz="8" w:color="231F20"/>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140" w:type="dxa"/>
            <w:vAlign w:val="bottom"/>
            <w:tcBorders>
              <w:bottom w:val="single" w:sz="8" w:color="auto"/>
              <w:right w:val="single" w:sz="8" w:color="231F20"/>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20" w:type="dxa"/>
            <w:vAlign w:val="bottom"/>
            <w:tcBorders>
              <w:bottom w:val="single" w:sz="8" w:color="auto"/>
              <w:right w:val="single" w:sz="8" w:color="231F2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29"/>
                <w:szCs w:val="29"/>
                <w:b w:val="1"/>
                <w:bCs w:val="1"/>
                <w:color w:val="auto"/>
                <w:vertAlign w:val="superscript"/>
              </w:rPr>
              <w:t>1</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0" w:type="dxa"/>
            <w:vAlign w:val="bottom"/>
            <w:tcBorders>
              <w:left w:val="single" w:sz="8" w:color="231F20"/>
              <w:right w:val="single" w:sz="8" w:color="231F20"/>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9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receive,  consider  and  adopt  the  audited</w:t>
            </w:r>
          </w:p>
        </w:tc>
        <w:tc>
          <w:tcPr>
            <w:tcW w:w="11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269,988,610</w:t>
            </w:r>
          </w:p>
        </w:tc>
        <w:tc>
          <w:tcPr>
            <w:tcW w:w="11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26,998,861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269,988,610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9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consolidated financial statements of the Company</w:t>
            </w:r>
          </w:p>
        </w:tc>
        <w:tc>
          <w:tcPr>
            <w:tcW w:w="11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140" w:type="dxa"/>
            <w:vAlign w:val="bottom"/>
            <w:tcBorders>
              <w:right w:val="single" w:sz="8" w:color="231F20"/>
            </w:tcBorders>
          </w:tcPr>
          <w:p>
            <w:pPr>
              <w:jc w:val="right"/>
              <w:ind w:right="230"/>
              <w:spacing w:after="0"/>
              <w:rPr>
                <w:sz w:val="20"/>
                <w:szCs w:val="20"/>
                <w:color w:val="auto"/>
              </w:rPr>
            </w:pPr>
            <w:r>
              <w:rPr>
                <w:rFonts w:ascii="Times New Roman" w:cs="Times New Roman" w:eastAsia="Times New Roman" w:hAnsi="Times New Roman"/>
                <w:sz w:val="18"/>
                <w:szCs w:val="18"/>
                <w:color w:val="auto"/>
              </w:rPr>
              <w:t>(0.0000%)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231F20"/>
              <w:right w:val="single" w:sz="8" w:color="231F20"/>
            </w:tcBorders>
          </w:tcPr>
          <w:p>
            <w:pPr>
              <w:spacing w:after="0"/>
              <w:rPr>
                <w:sz w:val="18"/>
                <w:szCs w:val="18"/>
                <w:color w:val="auto"/>
              </w:rPr>
            </w:pPr>
          </w:p>
        </w:tc>
        <w:tc>
          <w:tcPr>
            <w:tcW w:w="39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and its subsidiaries and the reports of the directors</w:t>
            </w:r>
          </w:p>
        </w:tc>
        <w:tc>
          <w:tcPr>
            <w:tcW w:w="11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220" w:type="dxa"/>
            <w:vAlign w:val="bottom"/>
            <w:tcBorders>
              <w:right w:val="single" w:sz="8" w:color="231F20"/>
            </w:tcBorders>
          </w:tcPr>
          <w:p>
            <w:pPr>
              <w:spacing w:after="0"/>
              <w:rPr>
                <w:sz w:val="18"/>
                <w:szCs w:val="18"/>
                <w:color w:val="auto"/>
              </w:rPr>
            </w:pPr>
          </w:p>
        </w:tc>
        <w:tc>
          <w:tcPr>
            <w:tcW w:w="114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231F20"/>
              <w:right w:val="single" w:sz="8" w:color="231F20"/>
            </w:tcBorders>
          </w:tcPr>
          <w:p>
            <w:pPr>
              <w:spacing w:after="0"/>
              <w:rPr>
                <w:sz w:val="20"/>
                <w:szCs w:val="20"/>
                <w:color w:val="auto"/>
              </w:rPr>
            </w:pPr>
          </w:p>
        </w:tc>
        <w:tc>
          <w:tcPr>
            <w:tcW w:w="39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and auditors of the Company for</w:t>
            </w:r>
          </w:p>
        </w:tc>
        <w:tc>
          <w:tcPr>
            <w:tcW w:w="1140" w:type="dxa"/>
            <w:vAlign w:val="bottom"/>
            <w:tcBorders>
              <w:bottom w:val="single" w:sz="8" w:color="231F20"/>
              <w:right w:val="single" w:sz="8" w:color="231F20"/>
            </w:tcBorders>
          </w:tcPr>
          <w:p>
            <w:pPr>
              <w:spacing w:after="0"/>
              <w:rPr>
                <w:sz w:val="20"/>
                <w:szCs w:val="20"/>
                <w:color w:val="auto"/>
              </w:rPr>
            </w:pPr>
          </w:p>
        </w:tc>
        <w:tc>
          <w:tcPr>
            <w:tcW w:w="1220" w:type="dxa"/>
            <w:vAlign w:val="bottom"/>
            <w:tcBorders>
              <w:bottom w:val="single" w:sz="8" w:color="231F20"/>
              <w:right w:val="single" w:sz="8" w:color="231F20"/>
            </w:tcBorders>
          </w:tcPr>
          <w:p>
            <w:pPr>
              <w:spacing w:after="0"/>
              <w:rPr>
                <w:sz w:val="20"/>
                <w:szCs w:val="20"/>
                <w:color w:val="auto"/>
              </w:rPr>
            </w:pPr>
          </w:p>
        </w:tc>
        <w:tc>
          <w:tcPr>
            <w:tcW w:w="114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60" w:type="dxa"/>
            <w:vAlign w:val="bottom"/>
            <w:tcBorders>
              <w:left w:val="single" w:sz="8" w:color="231F20"/>
              <w:right w:val="single" w:sz="8" w:color="231F20"/>
            </w:tcBorders>
          </w:tcPr>
          <w:p>
            <w:pPr>
              <w:spacing w:after="0"/>
              <w:rPr>
                <w:sz w:val="18"/>
                <w:szCs w:val="18"/>
                <w:color w:val="auto"/>
              </w:rPr>
            </w:pPr>
          </w:p>
        </w:tc>
        <w:tc>
          <w:tcPr>
            <w:tcW w:w="39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the year ended 31December 2025.</w:t>
            </w:r>
          </w:p>
        </w:tc>
        <w:tc>
          <w:tcPr>
            <w:tcW w:w="114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92,336,071</w:t>
            </w:r>
          </w:p>
        </w:tc>
        <w:tc>
          <w:tcPr>
            <w:tcW w:w="11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10,722</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321,341</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92,346,793</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92,346,793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0" w:type="dxa"/>
            <w:vAlign w:val="bottom"/>
            <w:tcBorders>
              <w:left w:val="single" w:sz="8" w:color="231F20"/>
              <w:right w:val="single" w:sz="8" w:color="231F20"/>
            </w:tcBorders>
          </w:tcPr>
          <w:p>
            <w:pPr>
              <w:spacing w:after="0"/>
              <w:rPr>
                <w:sz w:val="15"/>
                <w:szCs w:val="15"/>
                <w:color w:val="auto"/>
              </w:rPr>
            </w:pPr>
          </w:p>
        </w:tc>
        <w:tc>
          <w:tcPr>
            <w:tcW w:w="3940" w:type="dxa"/>
            <w:vAlign w:val="bottom"/>
            <w:tcBorders>
              <w:right w:val="single" w:sz="8" w:color="231F20"/>
            </w:tcBorders>
          </w:tcPr>
          <w:p>
            <w:pPr>
              <w:spacing w:after="0"/>
              <w:rPr>
                <w:sz w:val="15"/>
                <w:szCs w:val="15"/>
                <w:color w:val="auto"/>
              </w:rPr>
            </w:pPr>
          </w:p>
        </w:tc>
        <w:tc>
          <w:tcPr>
            <w:tcW w:w="1140" w:type="dxa"/>
            <w:vAlign w:val="bottom"/>
            <w:tcBorders>
              <w:right w:val="single" w:sz="8" w:color="231F20"/>
            </w:tcBorders>
            <w:vMerge w:val="continue"/>
          </w:tcPr>
          <w:p>
            <w:pPr>
              <w:spacing w:after="0"/>
              <w:rPr>
                <w:sz w:val="15"/>
                <w:szCs w:val="15"/>
                <w:color w:val="auto"/>
              </w:rPr>
            </w:pPr>
          </w:p>
        </w:tc>
        <w:tc>
          <w:tcPr>
            <w:tcW w:w="1220" w:type="dxa"/>
            <w:vAlign w:val="bottom"/>
            <w:tcBorders>
              <w:right w:val="single" w:sz="8" w:color="231F20"/>
            </w:tcBorders>
            <w:vMerge w:val="continue"/>
          </w:tcPr>
          <w:p>
            <w:pPr>
              <w:spacing w:after="0"/>
              <w:rPr>
                <w:sz w:val="15"/>
                <w:szCs w:val="15"/>
                <w:color w:val="auto"/>
              </w:rPr>
            </w:pPr>
          </w:p>
        </w:tc>
        <w:tc>
          <w:tcPr>
            <w:tcW w:w="1140" w:type="dxa"/>
            <w:vAlign w:val="bottom"/>
            <w:tcBorders>
              <w:right w:val="single" w:sz="8" w:color="231F20"/>
            </w:tcBorders>
            <w:vMerge w:val="continue"/>
          </w:tcPr>
          <w:p>
            <w:pPr>
              <w:spacing w:after="0"/>
              <w:rPr>
                <w:sz w:val="15"/>
                <w:szCs w:val="15"/>
                <w:color w:val="auto"/>
              </w:rPr>
            </w:pPr>
          </w:p>
        </w:tc>
        <w:tc>
          <w:tcPr>
            <w:tcW w:w="1120" w:type="dxa"/>
            <w:vAlign w:val="bottom"/>
            <w:tcBorders>
              <w:right w:val="single" w:sz="8" w:color="231F20"/>
            </w:tcBorders>
            <w:vMerge w:val="continue"/>
          </w:tcPr>
          <w:p>
            <w:pPr>
              <w:spacing w:after="0"/>
              <w:rPr>
                <w:sz w:val="15"/>
                <w:szCs w:val="15"/>
                <w:color w:val="auto"/>
              </w:rPr>
            </w:pPr>
          </w:p>
        </w:tc>
        <w:tc>
          <w:tcPr>
            <w:tcW w:w="1120" w:type="dxa"/>
            <w:vAlign w:val="bottom"/>
            <w:tcBorders>
              <w:right w:val="single" w:sz="8" w:color="231F20"/>
            </w:tcBorders>
            <w:vMerge w:val="continue"/>
          </w:tcPr>
          <w:p>
            <w:pPr>
              <w:spacing w:after="0"/>
              <w:rPr>
                <w:sz w:val="15"/>
                <w:szCs w:val="15"/>
                <w:color w:val="auto"/>
              </w:rPr>
            </w:pPr>
          </w:p>
        </w:tc>
        <w:tc>
          <w:tcPr>
            <w:tcW w:w="1120" w:type="dxa"/>
            <w:vAlign w:val="bottom"/>
            <w:tcBorders>
              <w:right w:val="single" w:sz="8" w:color="231F20"/>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940" w:type="dxa"/>
            <w:vAlign w:val="bottom"/>
            <w:tcBorders>
              <w:right w:val="single" w:sz="8" w:color="231F20"/>
            </w:tcBorders>
          </w:tcPr>
          <w:p>
            <w:pPr>
              <w:spacing w:after="0"/>
              <w:rPr>
                <w:sz w:val="20"/>
                <w:szCs w:val="20"/>
                <w:color w:val="auto"/>
              </w:rPr>
            </w:pPr>
          </w:p>
        </w:tc>
        <w:tc>
          <w:tcPr>
            <w:tcW w:w="11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(99.9884%)</w:t>
            </w:r>
          </w:p>
        </w:tc>
        <w:tc>
          <w:tcPr>
            <w:tcW w:w="1140" w:type="dxa"/>
            <w:vAlign w:val="bottom"/>
            <w:tcBorders>
              <w:right w:val="single" w:sz="8" w:color="231F20"/>
            </w:tcBorders>
          </w:tcPr>
          <w:p>
            <w:pPr>
              <w:jc w:val="right"/>
              <w:ind w:right="250"/>
              <w:spacing w:after="0"/>
              <w:rPr>
                <w:sz w:val="20"/>
                <w:szCs w:val="20"/>
                <w:color w:val="auto"/>
              </w:rPr>
            </w:pPr>
            <w:r>
              <w:rPr>
                <w:rFonts w:ascii="Times New Roman" w:cs="Times New Roman" w:eastAsia="Times New Roman" w:hAnsi="Times New Roman"/>
                <w:sz w:val="18"/>
                <w:szCs w:val="18"/>
                <w:color w:val="auto"/>
              </w:rPr>
              <w:t>(0.0116%)</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231F20"/>
              <w:right w:val="single" w:sz="8" w:color="231F20"/>
            </w:tcBorders>
          </w:tcPr>
          <w:p>
            <w:pPr>
              <w:spacing w:after="0"/>
              <w:rPr>
                <w:sz w:val="24"/>
                <w:szCs w:val="24"/>
                <w:color w:val="auto"/>
              </w:rPr>
            </w:pPr>
          </w:p>
        </w:tc>
        <w:tc>
          <w:tcPr>
            <w:tcW w:w="3940" w:type="dxa"/>
            <w:vAlign w:val="bottom"/>
            <w:tcBorders>
              <w:right w:val="single" w:sz="8" w:color="231F20"/>
            </w:tcBorders>
          </w:tcPr>
          <w:p>
            <w:pPr>
              <w:spacing w:after="0"/>
              <w:rPr>
                <w:sz w:val="24"/>
                <w:szCs w:val="24"/>
                <w:color w:val="auto"/>
              </w:rPr>
            </w:pPr>
          </w:p>
        </w:tc>
        <w:tc>
          <w:tcPr>
            <w:tcW w:w="11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220" w:type="dxa"/>
            <w:vAlign w:val="bottom"/>
            <w:tcBorders>
              <w:right w:val="single" w:sz="8" w:color="231F20"/>
            </w:tcBorders>
          </w:tcPr>
          <w:p>
            <w:pPr>
              <w:spacing w:after="0"/>
              <w:rPr>
                <w:sz w:val="24"/>
                <w:szCs w:val="24"/>
                <w:color w:val="auto"/>
              </w:rPr>
            </w:pPr>
          </w:p>
        </w:tc>
        <w:tc>
          <w:tcPr>
            <w:tcW w:w="1140" w:type="dxa"/>
            <w:vAlign w:val="bottom"/>
            <w:tcBorders>
              <w:right w:val="single" w:sz="8" w:color="231F20"/>
            </w:tcBorders>
          </w:tcPr>
          <w:p>
            <w:pPr>
              <w:spacing w:after="0"/>
              <w:rPr>
                <w:sz w:val="24"/>
                <w:szCs w:val="24"/>
                <w:color w:val="auto"/>
              </w:rPr>
            </w:pPr>
          </w:p>
        </w:tc>
        <w:tc>
          <w:tcPr>
            <w:tcW w:w="1120" w:type="dxa"/>
            <w:vAlign w:val="bottom"/>
            <w:tcBorders>
              <w:right w:val="single" w:sz="8" w:color="231F20"/>
            </w:tcBorders>
          </w:tcPr>
          <w:p>
            <w:pPr>
              <w:spacing w:after="0"/>
              <w:rPr>
                <w:sz w:val="24"/>
                <w:szCs w:val="24"/>
                <w:color w:val="auto"/>
              </w:rPr>
            </w:pPr>
          </w:p>
        </w:tc>
        <w:tc>
          <w:tcPr>
            <w:tcW w:w="1120" w:type="dxa"/>
            <w:vAlign w:val="bottom"/>
            <w:tcBorders>
              <w:right w:val="single" w:sz="8" w:color="231F20"/>
            </w:tcBorders>
          </w:tcPr>
          <w:p>
            <w:pPr>
              <w:spacing w:after="0"/>
              <w:rPr>
                <w:sz w:val="24"/>
                <w:szCs w:val="24"/>
                <w:color w:val="auto"/>
              </w:rPr>
            </w:pPr>
          </w:p>
        </w:tc>
        <w:tc>
          <w:tcPr>
            <w:tcW w:w="1120" w:type="dxa"/>
            <w:vAlign w:val="bottom"/>
            <w:tcBorders>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940" w:type="dxa"/>
            <w:vAlign w:val="bottom"/>
            <w:tcBorders>
              <w:right w:val="single" w:sz="8" w:color="231F20"/>
            </w:tcBorders>
          </w:tcPr>
          <w:p>
            <w:pPr>
              <w:spacing w:after="0"/>
              <w:rPr>
                <w:sz w:val="18"/>
                <w:szCs w:val="18"/>
                <w:color w:val="auto"/>
              </w:rPr>
            </w:pPr>
          </w:p>
        </w:tc>
        <w:tc>
          <w:tcPr>
            <w:tcW w:w="1140" w:type="dxa"/>
            <w:vAlign w:val="bottom"/>
            <w:tcBorders>
              <w:bottom w:val="single" w:sz="8" w:color="231F20"/>
              <w:right w:val="single" w:sz="8" w:color="231F20"/>
            </w:tcBorders>
          </w:tcPr>
          <w:p>
            <w:pPr>
              <w:spacing w:after="0"/>
              <w:rPr>
                <w:sz w:val="18"/>
                <w:szCs w:val="18"/>
                <w:color w:val="auto"/>
              </w:rPr>
            </w:pPr>
          </w:p>
        </w:tc>
        <w:tc>
          <w:tcPr>
            <w:tcW w:w="1220" w:type="dxa"/>
            <w:vAlign w:val="bottom"/>
            <w:tcBorders>
              <w:bottom w:val="single" w:sz="8" w:color="231F20"/>
              <w:right w:val="single" w:sz="8" w:color="231F20"/>
            </w:tcBorders>
          </w:tcPr>
          <w:p>
            <w:pPr>
              <w:spacing w:after="0"/>
              <w:rPr>
                <w:sz w:val="18"/>
                <w:szCs w:val="18"/>
                <w:color w:val="auto"/>
              </w:rPr>
            </w:pPr>
          </w:p>
        </w:tc>
        <w:tc>
          <w:tcPr>
            <w:tcW w:w="11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0" w:type="dxa"/>
            <w:vAlign w:val="bottom"/>
            <w:tcBorders>
              <w:left w:val="single" w:sz="8" w:color="231F20"/>
              <w:right w:val="single" w:sz="8" w:color="231F20"/>
            </w:tcBorders>
          </w:tcPr>
          <w:p>
            <w:pPr>
              <w:spacing w:after="0"/>
              <w:rPr>
                <w:sz w:val="16"/>
                <w:szCs w:val="16"/>
                <w:color w:val="auto"/>
              </w:rPr>
            </w:pPr>
          </w:p>
        </w:tc>
        <w:tc>
          <w:tcPr>
            <w:tcW w:w="3940" w:type="dxa"/>
            <w:vAlign w:val="bottom"/>
            <w:tcBorders>
              <w:right w:val="single" w:sz="8" w:color="231F20"/>
            </w:tcBorders>
          </w:tcPr>
          <w:p>
            <w:pPr>
              <w:spacing w:after="0"/>
              <w:rPr>
                <w:sz w:val="16"/>
                <w:szCs w:val="16"/>
                <w:color w:val="auto"/>
              </w:rPr>
            </w:pPr>
          </w:p>
        </w:tc>
        <w:tc>
          <w:tcPr>
            <w:tcW w:w="114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362,324,681</w:t>
            </w:r>
          </w:p>
        </w:tc>
        <w:tc>
          <w:tcPr>
            <w:tcW w:w="11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10,722</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321,341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119,345,654</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362,335,403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940" w:type="dxa"/>
            <w:vAlign w:val="bottom"/>
            <w:tcBorders>
              <w:right w:val="single" w:sz="8" w:color="231F20"/>
            </w:tcBorders>
          </w:tcPr>
          <w:p>
            <w:pPr>
              <w:spacing w:after="0"/>
              <w:rPr>
                <w:sz w:val="18"/>
                <w:szCs w:val="18"/>
                <w:color w:val="auto"/>
              </w:rPr>
            </w:pPr>
          </w:p>
        </w:tc>
        <w:tc>
          <w:tcPr>
            <w:tcW w:w="11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(99.9970%)</w:t>
            </w:r>
          </w:p>
        </w:tc>
        <w:tc>
          <w:tcPr>
            <w:tcW w:w="1140" w:type="dxa"/>
            <w:vAlign w:val="bottom"/>
            <w:tcBorders>
              <w:right w:val="single" w:sz="8" w:color="231F20"/>
            </w:tcBorders>
          </w:tcPr>
          <w:p>
            <w:pPr>
              <w:jc w:val="right"/>
              <w:ind w:right="230"/>
              <w:spacing w:after="0"/>
              <w:rPr>
                <w:sz w:val="20"/>
                <w:szCs w:val="20"/>
                <w:color w:val="auto"/>
              </w:rPr>
            </w:pPr>
            <w:r>
              <w:rPr>
                <w:rFonts w:ascii="Times New Roman" w:cs="Times New Roman" w:eastAsia="Times New Roman" w:hAnsi="Times New Roman"/>
                <w:sz w:val="18"/>
                <w:szCs w:val="18"/>
                <w:color w:val="auto"/>
              </w:rPr>
              <w:t>(0.0030%)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940" w:type="dxa"/>
            <w:vAlign w:val="bottom"/>
            <w:tcBorders>
              <w:right w:val="single" w:sz="8" w:color="231F20"/>
            </w:tcBorders>
          </w:tcPr>
          <w:p>
            <w:pPr>
              <w:spacing w:after="0"/>
              <w:rPr>
                <w:sz w:val="18"/>
                <w:szCs w:val="18"/>
                <w:color w:val="auto"/>
              </w:rPr>
            </w:pPr>
          </w:p>
        </w:tc>
        <w:tc>
          <w:tcPr>
            <w:tcW w:w="11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220" w:type="dxa"/>
            <w:vAlign w:val="bottom"/>
            <w:tcBorders>
              <w:right w:val="single" w:sz="8" w:color="231F20"/>
            </w:tcBorders>
          </w:tcPr>
          <w:p>
            <w:pPr>
              <w:spacing w:after="0"/>
              <w:rPr>
                <w:sz w:val="18"/>
                <w:szCs w:val="18"/>
                <w:color w:val="auto"/>
              </w:rPr>
            </w:pPr>
          </w:p>
        </w:tc>
        <w:tc>
          <w:tcPr>
            <w:tcW w:w="114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940" w:type="dxa"/>
            <w:vAlign w:val="bottom"/>
            <w:tcBorders>
              <w:right w:val="single" w:sz="8" w:color="231F20"/>
            </w:tcBorders>
          </w:tcPr>
          <w:p>
            <w:pPr>
              <w:spacing w:after="0"/>
              <w:rPr>
                <w:sz w:val="20"/>
                <w:szCs w:val="20"/>
                <w:color w:val="auto"/>
              </w:rPr>
            </w:pPr>
          </w:p>
        </w:tc>
        <w:tc>
          <w:tcPr>
            <w:tcW w:w="114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220" w:type="dxa"/>
            <w:vAlign w:val="bottom"/>
            <w:tcBorders>
              <w:right w:val="single" w:sz="8" w:color="231F20"/>
            </w:tcBorders>
          </w:tcPr>
          <w:p>
            <w:pPr>
              <w:spacing w:after="0"/>
              <w:rPr>
                <w:sz w:val="20"/>
                <w:szCs w:val="20"/>
                <w:color w:val="auto"/>
              </w:rPr>
            </w:pPr>
          </w:p>
        </w:tc>
        <w:tc>
          <w:tcPr>
            <w:tcW w:w="11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940" w:type="dxa"/>
            <w:vAlign w:val="bottom"/>
            <w:tcBorders>
              <w:bottom w:val="single" w:sz="8" w:color="231F20"/>
              <w:right w:val="single" w:sz="8" w:color="231F20"/>
            </w:tcBorders>
          </w:tcPr>
          <w:p>
            <w:pPr>
              <w:spacing w:after="0"/>
              <w:rPr>
                <w:sz w:val="18"/>
                <w:szCs w:val="18"/>
                <w:color w:val="auto"/>
              </w:rPr>
            </w:pPr>
          </w:p>
        </w:tc>
        <w:tc>
          <w:tcPr>
            <w:tcW w:w="1140" w:type="dxa"/>
            <w:vAlign w:val="bottom"/>
            <w:tcBorders>
              <w:bottom w:val="single" w:sz="8" w:color="231F20"/>
              <w:right w:val="single" w:sz="8" w:color="231F20"/>
            </w:tcBorders>
          </w:tcPr>
          <w:p>
            <w:pPr>
              <w:spacing w:after="0"/>
              <w:rPr>
                <w:sz w:val="18"/>
                <w:szCs w:val="18"/>
                <w:color w:val="auto"/>
              </w:rPr>
            </w:pPr>
          </w:p>
        </w:tc>
        <w:tc>
          <w:tcPr>
            <w:tcW w:w="1220" w:type="dxa"/>
            <w:vAlign w:val="bottom"/>
            <w:tcBorders>
              <w:bottom w:val="single" w:sz="8" w:color="231F20"/>
              <w:right w:val="single" w:sz="8" w:color="231F20"/>
            </w:tcBorders>
          </w:tcPr>
          <w:p>
            <w:pPr>
              <w:spacing w:after="0"/>
              <w:rPr>
                <w:sz w:val="18"/>
                <w:szCs w:val="18"/>
                <w:color w:val="auto"/>
              </w:rPr>
            </w:pPr>
          </w:p>
        </w:tc>
        <w:tc>
          <w:tcPr>
            <w:tcW w:w="11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0" w:type="dxa"/>
            <w:vAlign w:val="bottom"/>
            <w:tcBorders>
              <w:left w:val="single" w:sz="8" w:color="231F20"/>
              <w:right w:val="single" w:sz="8" w:color="231F20"/>
            </w:tcBorders>
          </w:tcPr>
          <w:p>
            <w:pPr>
              <w:spacing w:after="0"/>
              <w:rPr>
                <w:sz w:val="16"/>
                <w:szCs w:val="16"/>
                <w:color w:val="auto"/>
              </w:rPr>
            </w:pPr>
          </w:p>
        </w:tc>
        <w:tc>
          <w:tcPr>
            <w:tcW w:w="10800" w:type="dxa"/>
            <w:vAlign w:val="bottom"/>
            <w:tcBorders>
              <w:right w:val="single" w:sz="8" w:color="231F20"/>
            </w:tcBorders>
            <w:gridSpan w:val="7"/>
          </w:tcPr>
          <w:p>
            <w:pPr>
              <w:spacing w:after="0" w:line="191" w:lineRule="exact"/>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bottom w:val="single" w:sz="8" w:color="231F20"/>
              <w:right w:val="single" w:sz="8" w:color="231F20"/>
            </w:tcBorders>
          </w:tcPr>
          <w:p>
            <w:pPr>
              <w:spacing w:after="0"/>
              <w:rPr>
                <w:sz w:val="18"/>
                <w:szCs w:val="18"/>
                <w:color w:val="auto"/>
              </w:rPr>
            </w:pPr>
          </w:p>
        </w:tc>
        <w:tc>
          <w:tcPr>
            <w:tcW w:w="394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spacing w:after="0"/>
              <w:rPr>
                <w:sz w:val="18"/>
                <w:szCs w:val="18"/>
                <w:color w:val="auto"/>
              </w:rPr>
            </w:pPr>
          </w:p>
        </w:tc>
        <w:tc>
          <w:tcPr>
            <w:tcW w:w="122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3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0" w:type="dxa"/>
            <w:vAlign w:val="bottom"/>
            <w:tcBorders>
              <w:top w:val="single" w:sz="8" w:color="231F20"/>
              <w:left w:val="single" w:sz="8" w:color="auto"/>
              <w:right w:val="single" w:sz="8" w:color="auto"/>
            </w:tcBorders>
          </w:tcPr>
          <w:p>
            <w:pPr>
              <w:spacing w:after="0"/>
              <w:rPr>
                <w:sz w:val="18"/>
                <w:szCs w:val="18"/>
                <w:color w:val="auto"/>
              </w:rPr>
            </w:pPr>
          </w:p>
        </w:tc>
        <w:tc>
          <w:tcPr>
            <w:tcW w:w="3900" w:type="dxa"/>
            <w:vAlign w:val="bottom"/>
            <w:tcBorders>
              <w:top w:val="single" w:sz="8" w:color="231F20"/>
            </w:tcBorders>
          </w:tcPr>
          <w:p>
            <w:pPr>
              <w:spacing w:after="0"/>
              <w:rPr>
                <w:sz w:val="18"/>
                <w:szCs w:val="18"/>
                <w:color w:val="auto"/>
              </w:rPr>
            </w:pPr>
          </w:p>
        </w:tc>
        <w:tc>
          <w:tcPr>
            <w:tcW w:w="1120" w:type="dxa"/>
            <w:vAlign w:val="bottom"/>
            <w:tcBorders>
              <w:top w:val="single" w:sz="8" w:color="231F20"/>
              <w:right w:val="single" w:sz="8" w:color="231F20"/>
            </w:tcBorders>
          </w:tcPr>
          <w:p>
            <w:pPr>
              <w:spacing w:after="0"/>
              <w:rPr>
                <w:sz w:val="18"/>
                <w:szCs w:val="18"/>
                <w:color w:val="auto"/>
              </w:rPr>
            </w:pPr>
          </w:p>
        </w:tc>
        <w:tc>
          <w:tcPr>
            <w:tcW w:w="348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VOTES CAST AND</w:t>
            </w:r>
          </w:p>
        </w:tc>
        <w:tc>
          <w:tcPr>
            <w:tcW w:w="11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120" w:type="dxa"/>
            <w:vAlign w:val="bottom"/>
            <w:tcBorders>
              <w:top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3480" w:type="dxa"/>
            <w:vAlign w:val="bottom"/>
            <w:tcBorders>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120" w:type="dxa"/>
            <w:vAlign w:val="bottom"/>
            <w:tcBorders>
              <w:right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VOTES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right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1120" w:type="dxa"/>
            <w:vAlign w:val="bottom"/>
            <w:tcBorders>
              <w:right w:val="single" w:sz="8" w:color="231F20"/>
            </w:tcBorders>
          </w:tcPr>
          <w:p>
            <w:pPr>
              <w:spacing w:after="0"/>
              <w:rPr>
                <w:sz w:val="24"/>
                <w:szCs w:val="24"/>
                <w:color w:val="auto"/>
              </w:rPr>
            </w:pPr>
          </w:p>
        </w:tc>
        <w:tc>
          <w:tcPr>
            <w:tcW w:w="1240" w:type="dxa"/>
            <w:vAlign w:val="bottom"/>
            <w:tcBorders>
              <w:right w:val="single" w:sz="8" w:color="231F20"/>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w:t>
            </w:r>
          </w:p>
        </w:tc>
        <w:tc>
          <w:tcPr>
            <w:tcW w:w="11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20" w:type="dxa"/>
            <w:vAlign w:val="bottom"/>
            <w:tcBorders>
              <w:right w:val="single" w:sz="8" w:color="231F20"/>
            </w:tcBorders>
          </w:tcPr>
          <w:p>
            <w:pPr>
              <w:jc w:val="right"/>
              <w:ind w:right="70"/>
              <w:spacing w:after="0" w:line="291" w:lineRule="exact"/>
              <w:rPr>
                <w:sz w:val="20"/>
                <w:szCs w:val="20"/>
                <w:color w:val="auto"/>
              </w:rPr>
            </w:pP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29"/>
                <w:szCs w:val="29"/>
                <w:b w:val="1"/>
                <w:bCs w:val="1"/>
                <w:color w:val="auto"/>
                <w:vertAlign w:val="superscript"/>
              </w:rPr>
              <w:t>1</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right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231F20"/>
            </w:tcBorders>
          </w:tcPr>
          <w:p>
            <w:pPr>
              <w:spacing w:after="0"/>
              <w:rPr>
                <w:sz w:val="4"/>
                <w:szCs w:val="4"/>
                <w:color w:val="auto"/>
              </w:rPr>
            </w:pPr>
          </w:p>
        </w:tc>
        <w:tc>
          <w:tcPr>
            <w:tcW w:w="1240" w:type="dxa"/>
            <w:vAlign w:val="bottom"/>
            <w:tcBorders>
              <w:bottom w:val="single" w:sz="8" w:color="auto"/>
              <w:right w:val="single" w:sz="8" w:color="231F20"/>
            </w:tcBorders>
          </w:tcPr>
          <w:p>
            <w:pPr>
              <w:spacing w:after="0"/>
              <w:rPr>
                <w:sz w:val="4"/>
                <w:szCs w:val="4"/>
                <w:color w:val="auto"/>
              </w:rPr>
            </w:pPr>
          </w:p>
        </w:tc>
        <w:tc>
          <w:tcPr>
            <w:tcW w:w="1120" w:type="dxa"/>
            <w:vAlign w:val="bottom"/>
            <w:tcBorders>
              <w:bottom w:val="single" w:sz="8" w:color="auto"/>
              <w:right w:val="single" w:sz="8" w:color="231F20"/>
            </w:tcBorders>
          </w:tcPr>
          <w:p>
            <w:pPr>
              <w:spacing w:after="0"/>
              <w:rPr>
                <w:sz w:val="4"/>
                <w:szCs w:val="4"/>
                <w:color w:val="auto"/>
              </w:rPr>
            </w:pPr>
          </w:p>
        </w:tc>
        <w:tc>
          <w:tcPr>
            <w:tcW w:w="1120" w:type="dxa"/>
            <w:vAlign w:val="bottom"/>
            <w:tcBorders>
              <w:bottom w:val="single" w:sz="8" w:color="auto"/>
              <w:right w:val="single" w:sz="8" w:color="231F20"/>
            </w:tcBorders>
          </w:tcPr>
          <w:p>
            <w:pPr>
              <w:spacing w:after="0"/>
              <w:rPr>
                <w:sz w:val="4"/>
                <w:szCs w:val="4"/>
                <w:color w:val="auto"/>
              </w:rPr>
            </w:pPr>
          </w:p>
        </w:tc>
        <w:tc>
          <w:tcPr>
            <w:tcW w:w="1120" w:type="dxa"/>
            <w:vAlign w:val="bottom"/>
            <w:tcBorders>
              <w:bottom w:val="single" w:sz="8" w:color="auto"/>
              <w:right w:val="single" w:sz="8" w:color="231F20"/>
            </w:tcBorders>
            <w:vMerge w:val="continue"/>
          </w:tcPr>
          <w:p>
            <w:pPr>
              <w:spacing w:after="0"/>
              <w:rPr>
                <w:sz w:val="4"/>
                <w:szCs w:val="4"/>
                <w:color w:val="auto"/>
              </w:rPr>
            </w:pPr>
          </w:p>
        </w:tc>
        <w:tc>
          <w:tcPr>
            <w:tcW w:w="1120" w:type="dxa"/>
            <w:vAlign w:val="bottom"/>
            <w:tcBorders>
              <w:bottom w:val="single" w:sz="8" w:color="auto"/>
              <w:right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(a) (i) To re-elect Dr. Yifan Li as an executive</w:t>
            </w:r>
          </w:p>
        </w:tc>
        <w:tc>
          <w:tcPr>
            <w:tcW w:w="112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39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269,988,610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26,998,861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269,988,610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82,391,946</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9,974,747</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301,441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92,366,693</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92,366,693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(89.2009%)</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(10.7991%)</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352,380,556</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9,974,747</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301,441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119,365,554</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362,355,303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(97.2472%)</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(2.7528%)</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A &amp;</w:t>
            </w:r>
          </w:p>
        </w:tc>
        <w:tc>
          <w:tcPr>
            <w:tcW w:w="124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10740" w:type="dxa"/>
            <w:vAlign w:val="bottom"/>
            <w:tcBorders>
              <w:right w:val="single" w:sz="8" w:color="auto"/>
            </w:tcBorders>
            <w:gridSpan w:val="7"/>
          </w:tcPr>
          <w:p>
            <w:pPr>
              <w:ind w:left="40"/>
              <w:spacing w:after="0" w:line="191" w:lineRule="exact"/>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 (ii) To re-elect Mr. Jia Ren as an independent</w:t>
            </w:r>
          </w:p>
        </w:tc>
        <w:tc>
          <w:tcPr>
            <w:tcW w:w="112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non-executive Director.</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26,998,861</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26,998,861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26,998,861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120" w:type="dxa"/>
            <w:vAlign w:val="bottom"/>
            <w:tcBorders>
              <w:right w:val="single" w:sz="8" w:color="231F20"/>
            </w:tcBorders>
          </w:tcPr>
          <w:p>
            <w:pPr>
              <w:ind w:left="220"/>
              <w:spacing w:after="0"/>
              <w:rPr>
                <w:sz w:val="20"/>
                <w:szCs w:val="20"/>
                <w:color w:val="auto"/>
              </w:rPr>
            </w:pPr>
            <w:r>
              <w:rPr>
                <w:rFonts w:ascii="Times New Roman" w:cs="Times New Roman" w:eastAsia="Times New Roman" w:hAnsi="Times New Roman"/>
                <w:sz w:val="18"/>
                <w:szCs w:val="18"/>
                <w:color w:val="auto"/>
              </w:rPr>
              <w:t>(0.0000%)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91,265,603</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1,099,229</w:t>
            </w:r>
          </w:p>
        </w:tc>
        <w:tc>
          <w:tcPr>
            <w:tcW w:w="1120" w:type="dxa"/>
            <w:vAlign w:val="bottom"/>
            <w:tcBorders>
              <w:right w:val="single" w:sz="8" w:color="231F20"/>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303,302</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92,364,832</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92,364,832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(98.8099%)</w:t>
            </w:r>
          </w:p>
        </w:tc>
        <w:tc>
          <w:tcPr>
            <w:tcW w:w="1120" w:type="dxa"/>
            <w:vAlign w:val="bottom"/>
            <w:tcBorders>
              <w:right w:val="single" w:sz="8" w:color="231F20"/>
            </w:tcBorders>
          </w:tcPr>
          <w:p>
            <w:pPr>
              <w:ind w:left="220"/>
              <w:spacing w:after="0"/>
              <w:rPr>
                <w:sz w:val="20"/>
                <w:szCs w:val="20"/>
                <w:color w:val="auto"/>
              </w:rPr>
            </w:pPr>
            <w:r>
              <w:rPr>
                <w:rFonts w:ascii="Times New Roman" w:cs="Times New Roman" w:eastAsia="Times New Roman" w:hAnsi="Times New Roman"/>
                <w:sz w:val="18"/>
                <w:szCs w:val="18"/>
                <w:color w:val="auto"/>
              </w:rPr>
              <w:t>(1.1901%)</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118,264,464</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1,099,229</w:t>
            </w:r>
          </w:p>
        </w:tc>
        <w:tc>
          <w:tcPr>
            <w:tcW w:w="1120" w:type="dxa"/>
            <w:vAlign w:val="bottom"/>
            <w:tcBorders>
              <w:right w:val="single" w:sz="8" w:color="231F20"/>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303,302</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119,363,693</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119,363,693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(99.0791%)</w:t>
            </w:r>
          </w:p>
        </w:tc>
        <w:tc>
          <w:tcPr>
            <w:tcW w:w="1120" w:type="dxa"/>
            <w:vAlign w:val="bottom"/>
            <w:tcBorders>
              <w:right w:val="single" w:sz="8" w:color="231F20"/>
            </w:tcBorders>
          </w:tcPr>
          <w:p>
            <w:pPr>
              <w:ind w:left="220"/>
              <w:spacing w:after="0"/>
              <w:rPr>
                <w:sz w:val="20"/>
                <w:szCs w:val="20"/>
                <w:color w:val="auto"/>
              </w:rPr>
            </w:pPr>
            <w:r>
              <w:rPr>
                <w:rFonts w:ascii="Times New Roman" w:cs="Times New Roman" w:eastAsia="Times New Roman" w:hAnsi="Times New Roman"/>
                <w:sz w:val="18"/>
                <w:szCs w:val="18"/>
                <w:color w:val="auto"/>
              </w:rPr>
              <w:t>(0.9209%)</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(CLASS A &amp;</w:t>
            </w:r>
          </w:p>
        </w:tc>
        <w:tc>
          <w:tcPr>
            <w:tcW w:w="124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10740" w:type="dxa"/>
            <w:vAlign w:val="bottom"/>
            <w:tcBorders>
              <w:right w:val="single" w:sz="8" w:color="auto"/>
            </w:tcBorders>
            <w:gridSpan w:val="7"/>
          </w:tcPr>
          <w:p>
            <w:pPr>
              <w:spacing w:after="0" w:line="191" w:lineRule="exact"/>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 (iii) To re-elect Dr. Hui Wang as an independent</w:t>
            </w:r>
          </w:p>
        </w:tc>
        <w:tc>
          <w:tcPr>
            <w:tcW w:w="112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non-executive Director.</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26,998,861</w:t>
            </w:r>
          </w:p>
        </w:tc>
        <w:tc>
          <w:tcPr>
            <w:tcW w:w="112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26,998,861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26,998,861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120" w:type="dxa"/>
            <w:vAlign w:val="bottom"/>
            <w:tcBorders>
              <w:right w:val="single" w:sz="8" w:color="231F20"/>
            </w:tcBorders>
          </w:tcPr>
          <w:p>
            <w:pPr>
              <w:jc w:val="center"/>
              <w:ind w:right="10"/>
              <w:spacing w:after="0"/>
              <w:rPr>
                <w:sz w:val="20"/>
                <w:szCs w:val="20"/>
                <w:color w:val="auto"/>
              </w:rPr>
            </w:pPr>
            <w:r>
              <w:rPr>
                <w:rFonts w:ascii="Times New Roman" w:cs="Times New Roman" w:eastAsia="Times New Roman" w:hAnsi="Times New Roman"/>
                <w:sz w:val="18"/>
                <w:szCs w:val="18"/>
                <w:color w:val="auto"/>
              </w:rPr>
              <w:t>(0.0000%)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91,895,646</w:t>
            </w:r>
          </w:p>
        </w:tc>
        <w:tc>
          <w:tcPr>
            <w:tcW w:w="1120" w:type="dxa"/>
            <w:vAlign w:val="bottom"/>
            <w:tcBorders>
              <w:right w:val="single" w:sz="8" w:color="231F20"/>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469,566</w:t>
            </w:r>
          </w:p>
        </w:tc>
        <w:tc>
          <w:tcPr>
            <w:tcW w:w="1120" w:type="dxa"/>
            <w:vAlign w:val="bottom"/>
            <w:tcBorders>
              <w:right w:val="single" w:sz="8" w:color="231F20"/>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302,922</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92,365,212</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92,365,212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(99.4916%)</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(0.5084%)</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right w:val="single" w:sz="8" w:color="auto"/>
            </w:tcBorders>
          </w:tcPr>
          <w:p>
            <w:pPr>
              <w:spacing w:after="0"/>
              <w:rPr>
                <w:sz w:val="16"/>
                <w:szCs w:val="16"/>
                <w:color w:val="auto"/>
              </w:rPr>
            </w:pPr>
          </w:p>
        </w:tc>
        <w:tc>
          <w:tcPr>
            <w:tcW w:w="3900" w:type="dxa"/>
            <w:vAlign w:val="bottom"/>
            <w:tcBorders>
              <w:right w:val="single" w:sz="8" w:color="231F20"/>
            </w:tcBorders>
          </w:tcPr>
          <w:p>
            <w:pPr>
              <w:spacing w:after="0"/>
              <w:rPr>
                <w:sz w:val="16"/>
                <w:szCs w:val="16"/>
                <w:color w:val="auto"/>
              </w:rPr>
            </w:pPr>
          </w:p>
        </w:tc>
        <w:tc>
          <w:tcPr>
            <w:tcW w:w="11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118,894,507</w:t>
            </w:r>
          </w:p>
        </w:tc>
        <w:tc>
          <w:tcPr>
            <w:tcW w:w="1120" w:type="dxa"/>
            <w:vAlign w:val="bottom"/>
            <w:tcBorders>
              <w:right w:val="single" w:sz="8" w:color="231F20"/>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469,566</w:t>
            </w:r>
          </w:p>
        </w:tc>
        <w:tc>
          <w:tcPr>
            <w:tcW w:w="1120" w:type="dxa"/>
            <w:vAlign w:val="bottom"/>
            <w:tcBorders>
              <w:right w:val="single" w:sz="8" w:color="231F20"/>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302,922</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119,364,073</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119,364,073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(99.6066%)</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(0.3934%)</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right w:val="single" w:sz="8" w:color="auto"/>
            </w:tcBorders>
          </w:tcPr>
          <w:p>
            <w:pPr>
              <w:spacing w:after="0"/>
              <w:rPr>
                <w:sz w:val="18"/>
                <w:szCs w:val="18"/>
                <w:color w:val="auto"/>
              </w:rPr>
            </w:pPr>
          </w:p>
        </w:tc>
        <w:tc>
          <w:tcPr>
            <w:tcW w:w="3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(CLASS A &amp;</w:t>
            </w:r>
          </w:p>
        </w:tc>
        <w:tc>
          <w:tcPr>
            <w:tcW w:w="124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3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231F20"/>
              <w:right w:val="single" w:sz="8" w:color="auto"/>
            </w:tcBorders>
          </w:tcPr>
          <w:p>
            <w:pPr>
              <w:spacing w:after="0"/>
              <w:rPr>
                <w:sz w:val="18"/>
                <w:szCs w:val="18"/>
                <w:color w:val="auto"/>
              </w:rPr>
            </w:pPr>
          </w:p>
        </w:tc>
        <w:tc>
          <w:tcPr>
            <w:tcW w:w="39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00" w:type="dxa"/>
            <w:vAlign w:val="bottom"/>
            <w:tcBorders>
              <w:top w:val="single" w:sz="8" w:color="231F20"/>
              <w:left w:val="single" w:sz="8" w:color="231F20"/>
            </w:tcBorders>
          </w:tcPr>
          <w:p>
            <w:pPr>
              <w:spacing w:after="0"/>
              <w:rPr>
                <w:sz w:val="18"/>
                <w:szCs w:val="18"/>
                <w:color w:val="auto"/>
              </w:rPr>
            </w:pPr>
          </w:p>
        </w:tc>
        <w:tc>
          <w:tcPr>
            <w:tcW w:w="3820" w:type="dxa"/>
            <w:vAlign w:val="bottom"/>
            <w:tcBorders>
              <w:top w:val="single" w:sz="8" w:color="231F20"/>
            </w:tcBorders>
          </w:tcPr>
          <w:p>
            <w:pPr>
              <w:spacing w:after="0"/>
              <w:rPr>
                <w:sz w:val="18"/>
                <w:szCs w:val="18"/>
                <w:color w:val="auto"/>
              </w:rPr>
            </w:pPr>
          </w:p>
        </w:tc>
        <w:tc>
          <w:tcPr>
            <w:tcW w:w="1100" w:type="dxa"/>
            <w:vAlign w:val="bottom"/>
            <w:tcBorders>
              <w:top w:val="single" w:sz="8" w:color="231F20"/>
            </w:tcBorders>
          </w:tcPr>
          <w:p>
            <w:pPr>
              <w:spacing w:after="0"/>
              <w:rPr>
                <w:sz w:val="18"/>
                <w:szCs w:val="18"/>
                <w:color w:val="auto"/>
              </w:rPr>
            </w:pPr>
          </w:p>
        </w:tc>
        <w:tc>
          <w:tcPr>
            <w:tcW w:w="140" w:type="dxa"/>
            <w:vAlign w:val="bottom"/>
            <w:tcBorders>
              <w:top w:val="single" w:sz="8" w:color="231F20"/>
              <w:right w:val="single" w:sz="8" w:color="231F20"/>
            </w:tcBorders>
          </w:tcPr>
          <w:p>
            <w:pPr>
              <w:spacing w:after="0"/>
              <w:rPr>
                <w:sz w:val="18"/>
                <w:szCs w:val="18"/>
                <w:color w:val="auto"/>
              </w:rPr>
            </w:pPr>
          </w:p>
        </w:tc>
        <w:tc>
          <w:tcPr>
            <w:tcW w:w="3260" w:type="dxa"/>
            <w:vAlign w:val="bottom"/>
            <w:tcBorders>
              <w:top w:val="single" w:sz="8" w:color="231F20"/>
              <w:right w:val="single" w:sz="8" w:color="231F20"/>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NUMBER OF VOTES CAST AND</w:t>
            </w:r>
          </w:p>
        </w:tc>
        <w:tc>
          <w:tcPr>
            <w:tcW w:w="11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120" w:type="dxa"/>
            <w:vAlign w:val="bottom"/>
            <w:tcBorders>
              <w:top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tcBorders>
          </w:tcPr>
          <w:p>
            <w:pPr>
              <w:spacing w:after="0"/>
              <w:rPr>
                <w:sz w:val="18"/>
                <w:szCs w:val="18"/>
                <w:color w:val="auto"/>
              </w:rPr>
            </w:pPr>
          </w:p>
        </w:tc>
        <w:tc>
          <w:tcPr>
            <w:tcW w:w="3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231F20"/>
            </w:tcBorders>
          </w:tcPr>
          <w:p>
            <w:pPr>
              <w:spacing w:after="0"/>
              <w:rPr>
                <w:sz w:val="18"/>
                <w:szCs w:val="18"/>
                <w:color w:val="auto"/>
              </w:rPr>
            </w:pPr>
          </w:p>
        </w:tc>
        <w:tc>
          <w:tcPr>
            <w:tcW w:w="3260" w:type="dxa"/>
            <w:vAlign w:val="bottom"/>
            <w:tcBorders>
              <w:right w:val="single" w:sz="8" w:color="231F20"/>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80" w:type="dxa"/>
            <w:vAlign w:val="bottom"/>
          </w:tcPr>
          <w:p>
            <w:pPr>
              <w:spacing w:after="0"/>
              <w:rPr>
                <w:sz w:val="18"/>
                <w:szCs w:val="18"/>
                <w:color w:val="auto"/>
              </w:rPr>
            </w:pPr>
          </w:p>
        </w:tc>
      </w:tr>
      <w:tr>
        <w:trPr>
          <w:trHeight w:val="238"/>
        </w:trPr>
        <w:tc>
          <w:tcPr>
            <w:tcW w:w="600" w:type="dxa"/>
            <w:vAlign w:val="bottom"/>
            <w:tcBorders>
              <w:left w:val="single" w:sz="8" w:color="231F20"/>
            </w:tcBorders>
          </w:tcPr>
          <w:p>
            <w:pPr>
              <w:spacing w:after="0"/>
              <w:rPr>
                <w:sz w:val="20"/>
                <w:szCs w:val="20"/>
                <w:color w:val="auto"/>
              </w:rPr>
            </w:pPr>
          </w:p>
        </w:tc>
        <w:tc>
          <w:tcPr>
            <w:tcW w:w="3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231F20"/>
            </w:tcBorders>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12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tcBorders>
          </w:tcPr>
          <w:p>
            <w:pPr>
              <w:spacing w:after="0"/>
              <w:rPr>
                <w:sz w:val="18"/>
                <w:szCs w:val="18"/>
                <w:color w:val="auto"/>
              </w:rPr>
            </w:pPr>
          </w:p>
        </w:tc>
        <w:tc>
          <w:tcPr>
            <w:tcW w:w="38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VOTES</w:t>
            </w:r>
          </w:p>
        </w:tc>
        <w:tc>
          <w:tcPr>
            <w:tcW w:w="80" w:type="dxa"/>
            <w:vAlign w:val="bottom"/>
          </w:tcPr>
          <w:p>
            <w:pPr>
              <w:spacing w:after="0"/>
              <w:rPr>
                <w:sz w:val="18"/>
                <w:szCs w:val="18"/>
                <w:color w:val="auto"/>
              </w:rPr>
            </w:pPr>
          </w:p>
        </w:tc>
      </w:tr>
      <w:tr>
        <w:trPr>
          <w:trHeight w:val="250"/>
        </w:trPr>
        <w:tc>
          <w:tcPr>
            <w:tcW w:w="600" w:type="dxa"/>
            <w:vAlign w:val="bottom"/>
            <w:tcBorders>
              <w:left w:val="single" w:sz="8" w:color="231F20"/>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231F20"/>
            </w:tcBorders>
          </w:tcPr>
          <w:p>
            <w:pPr>
              <w:spacing w:after="0"/>
              <w:rPr>
                <w:sz w:val="21"/>
                <w:szCs w:val="21"/>
                <w:color w:val="auto"/>
              </w:rPr>
            </w:pPr>
          </w:p>
        </w:tc>
        <w:tc>
          <w:tcPr>
            <w:tcW w:w="1240" w:type="dxa"/>
            <w:vAlign w:val="bottom"/>
            <w:tcBorders>
              <w:bottom w:val="single" w:sz="8" w:color="auto"/>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000" w:type="dxa"/>
            <w:vAlign w:val="bottom"/>
            <w:tcBorders>
              <w:bottom w:val="single" w:sz="8" w:color="auto"/>
              <w:right w:val="single" w:sz="8" w:color="231F20"/>
            </w:tcBorders>
          </w:tcPr>
          <w:p>
            <w:pPr>
              <w:ind w:left="40"/>
              <w:spacing w:after="0" w:line="250" w:lineRule="exact"/>
              <w:rPr>
                <w:sz w:val="20"/>
                <w:szCs w:val="20"/>
                <w:color w:val="auto"/>
              </w:rPr>
            </w:pP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28"/>
                <w:szCs w:val="28"/>
                <w:b w:val="1"/>
                <w:bCs w:val="1"/>
                <w:color w:val="auto"/>
                <w:vertAlign w:val="superscript"/>
              </w:rPr>
              <w:t>1</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80" w:type="dxa"/>
            <w:vAlign w:val="bottom"/>
          </w:tcPr>
          <w:p>
            <w:pPr>
              <w:spacing w:after="0"/>
              <w:rPr>
                <w:sz w:val="21"/>
                <w:szCs w:val="21"/>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10560" w:type="dxa"/>
            <w:vAlign w:val="bottom"/>
            <w:tcBorders>
              <w:right w:val="single" w:sz="8" w:color="231F20"/>
            </w:tcBorders>
            <w:gridSpan w:val="8"/>
          </w:tcPr>
          <w:p>
            <w:pPr>
              <w:ind w:left="6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80" w:type="dxa"/>
            <w:vAlign w:val="bottom"/>
          </w:tcPr>
          <w:p>
            <w:pPr>
              <w:spacing w:after="0"/>
              <w:rPr>
                <w:sz w:val="16"/>
                <w:szCs w:val="16"/>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38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rPr>
              <w:t>(b) To authorize the Board to fix the remuneration</w:t>
            </w: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1020" w:type="dxa"/>
            <w:vAlign w:val="bottom"/>
            <w:tcBorders>
              <w:right w:val="single" w:sz="8" w:color="231F20"/>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26,998,861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of the Directors.</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(0.0000%)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3820" w:type="dxa"/>
            <w:vAlign w:val="bottom"/>
            <w:tcBorders>
              <w:right w:val="single" w:sz="8" w:color="231F20"/>
            </w:tcBorders>
          </w:tcPr>
          <w:p>
            <w:pPr>
              <w:spacing w:after="0"/>
              <w:rPr>
                <w:sz w:val="16"/>
                <w:szCs w:val="16"/>
                <w:color w:val="auto"/>
              </w:rPr>
            </w:pP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89,806,730</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2,555,284</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306,120</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92,362,014</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92,362,014</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(97.2334%)</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(2.7666%)</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3820" w:type="dxa"/>
            <w:vAlign w:val="bottom"/>
            <w:tcBorders>
              <w:right w:val="single" w:sz="8" w:color="231F20"/>
            </w:tcBorders>
          </w:tcPr>
          <w:p>
            <w:pPr>
              <w:spacing w:after="0"/>
              <w:rPr>
                <w:sz w:val="16"/>
                <w:szCs w:val="16"/>
                <w:color w:val="auto"/>
              </w:rPr>
            </w:pP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359,795,340</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2,555,284</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306,120</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7"/>
              </w:rPr>
              <w:t>119,360,875</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362,350,624</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NUMBER</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(99.2948%)</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(0.7052%)</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A &amp;</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gridSpan w:val="2"/>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9440" w:type="dxa"/>
            <w:vAlign w:val="bottom"/>
            <w:gridSpan w:val="7"/>
          </w:tcPr>
          <w:p>
            <w:pPr>
              <w:ind w:left="60"/>
              <w:spacing w:after="0" w:line="191" w:lineRule="exact"/>
              <w:rPr>
                <w:sz w:val="20"/>
                <w:szCs w:val="20"/>
                <w:color w:val="auto"/>
              </w:rPr>
            </w:pPr>
            <w:r>
              <w:rPr>
                <w:rFonts w:ascii="Times New Roman" w:cs="Times New Roman" w:eastAsia="Times New Roman" w:hAnsi="Times New Roman"/>
                <w:sz w:val="18"/>
                <w:szCs w:val="18"/>
                <w:color w:val="231F20"/>
                <w:w w:val="98"/>
              </w:rPr>
              <w:t>The resolution has been duly passed as an ordinary resolution with a simple majority of valid votes held by Shareholders (including</w:t>
            </w:r>
          </w:p>
        </w:tc>
        <w:tc>
          <w:tcPr>
            <w:tcW w:w="1120" w:type="dxa"/>
            <w:vAlign w:val="bottom"/>
            <w:tcBorders>
              <w:right w:val="single" w:sz="8" w:color="231F20"/>
            </w:tcBorders>
          </w:tcPr>
          <w:p>
            <w:pPr>
              <w:ind w:left="140"/>
              <w:spacing w:after="0" w:line="191" w:lineRule="exact"/>
              <w:rPr>
                <w:sz w:val="20"/>
                <w:szCs w:val="20"/>
                <w:color w:val="auto"/>
              </w:rPr>
            </w:pPr>
            <w:r>
              <w:rPr>
                <w:rFonts w:ascii="Times New Roman" w:cs="Times New Roman" w:eastAsia="Times New Roman" w:hAnsi="Times New Roman"/>
                <w:sz w:val="18"/>
                <w:szCs w:val="18"/>
                <w:color w:val="231F20"/>
              </w:rPr>
              <w:t>proxies)</w:t>
            </w:r>
          </w:p>
        </w:tc>
        <w:tc>
          <w:tcPr>
            <w:tcW w:w="80" w:type="dxa"/>
            <w:vAlign w:val="bottom"/>
          </w:tcPr>
          <w:p>
            <w:pPr>
              <w:spacing w:after="0"/>
              <w:rPr>
                <w:sz w:val="16"/>
                <w:szCs w:val="16"/>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 w:type="dxa"/>
            <w:vAlign w:val="bottom"/>
            <w:tcBorders>
              <w:left w:val="single" w:sz="8" w:color="231F20"/>
              <w:bottom w:val="single" w:sz="8" w:color="231F20"/>
              <w:right w:val="single" w:sz="8" w:color="231F20"/>
            </w:tcBorders>
          </w:tcPr>
          <w:p>
            <w:pPr>
              <w:spacing w:after="0"/>
              <w:rPr>
                <w:sz w:val="24"/>
                <w:szCs w:val="24"/>
                <w:color w:val="auto"/>
              </w:rPr>
            </w:pPr>
          </w:p>
        </w:tc>
        <w:tc>
          <w:tcPr>
            <w:tcW w:w="38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00" w:type="dxa"/>
            <w:vAlign w:val="bottom"/>
            <w:tcBorders>
              <w:left w:val="single" w:sz="8" w:color="231F20"/>
              <w:right w:val="single" w:sz="8" w:color="231F20"/>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231F20"/>
              </w:rPr>
              <w:t>3.</w:t>
            </w:r>
          </w:p>
        </w:tc>
        <w:tc>
          <w:tcPr>
            <w:tcW w:w="38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rPr>
              <w:t>To re-appoint Messrs. Deloitte Touche Tohmatsu</w:t>
            </w: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26,998,861</w:t>
            </w:r>
          </w:p>
        </w:tc>
        <w:tc>
          <w:tcPr>
            <w:tcW w:w="1020" w:type="dxa"/>
            <w:vAlign w:val="bottom"/>
            <w:tcBorders>
              <w:right w:val="single" w:sz="8" w:color="231F20"/>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26,998,861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26,998,861</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Certified Public Accountants LLP and Messrs.</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(0.0000%)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 xml:space="preserve">Deloitte Touche Tohmatsu as </w:t>
            </w:r>
            <w:r>
              <w:rPr>
                <w:rFonts w:ascii="Times New Roman" w:cs="Times New Roman" w:eastAsia="Times New Roman" w:hAnsi="Times New Roman"/>
                <w:sz w:val="18"/>
                <w:szCs w:val="18"/>
                <w:color w:val="000000"/>
              </w:rPr>
              <w:t>auditors of the</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 xml:space="preserve">Company and to authorise the </w:t>
            </w:r>
            <w:r>
              <w:rPr>
                <w:rFonts w:ascii="Times New Roman" w:cs="Times New Roman" w:eastAsia="Times New Roman" w:hAnsi="Times New Roman"/>
                <w:sz w:val="18"/>
                <w:szCs w:val="18"/>
                <w:color w:val="231F20"/>
              </w:rPr>
              <w:t>Board to fix their</w:t>
            </w:r>
          </w:p>
        </w:tc>
        <w:tc>
          <w:tcPr>
            <w:tcW w:w="110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600" w:type="dxa"/>
            <w:vAlign w:val="bottom"/>
            <w:tcBorders>
              <w:left w:val="single" w:sz="8" w:color="231F20"/>
              <w:right w:val="single" w:sz="8" w:color="231F20"/>
            </w:tcBorders>
          </w:tcPr>
          <w:p>
            <w:pPr>
              <w:spacing w:after="0"/>
              <w:rPr>
                <w:sz w:val="19"/>
                <w:szCs w:val="19"/>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remuneration.</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19"/>
                <w:szCs w:val="19"/>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75,164,969</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16,276,498</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1,226,667</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91,441,467</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91,441,467</w:t>
            </w:r>
          </w:p>
        </w:tc>
        <w:tc>
          <w:tcPr>
            <w:tcW w:w="80" w:type="dxa"/>
            <w:vAlign w:val="bottom"/>
          </w:tcPr>
          <w:p>
            <w:pPr>
              <w:spacing w:after="0"/>
              <w:rPr>
                <w:sz w:val="19"/>
                <w:szCs w:val="19"/>
                <w:color w:val="auto"/>
              </w:rPr>
            </w:pPr>
          </w:p>
        </w:tc>
      </w:tr>
      <w:tr>
        <w:trPr>
          <w:trHeight w:val="395"/>
        </w:trPr>
        <w:tc>
          <w:tcPr>
            <w:tcW w:w="600" w:type="dxa"/>
            <w:vAlign w:val="bottom"/>
            <w:tcBorders>
              <w:left w:val="single" w:sz="8" w:color="231F20"/>
              <w:right w:val="single" w:sz="8" w:color="231F20"/>
            </w:tcBorders>
          </w:tcPr>
          <w:p>
            <w:pPr>
              <w:spacing w:after="0"/>
              <w:rPr>
                <w:sz w:val="24"/>
                <w:szCs w:val="24"/>
                <w:color w:val="auto"/>
              </w:rPr>
            </w:pPr>
          </w:p>
        </w:tc>
        <w:tc>
          <w:tcPr>
            <w:tcW w:w="3820" w:type="dxa"/>
            <w:vAlign w:val="bottom"/>
            <w:tcBorders>
              <w:right w:val="single" w:sz="8" w:color="231F20"/>
            </w:tcBorders>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24"/>
                <w:szCs w:val="24"/>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(82.2001%)</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(17.7999%)</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24"/>
                <w:szCs w:val="24"/>
                <w:color w:val="auto"/>
              </w:rPr>
            </w:pPr>
          </w:p>
        </w:tc>
        <w:tc>
          <w:tcPr>
            <w:tcW w:w="1120" w:type="dxa"/>
            <w:vAlign w:val="bottom"/>
            <w:tcBorders>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3820" w:type="dxa"/>
            <w:vAlign w:val="bottom"/>
            <w:tcBorders>
              <w:right w:val="single" w:sz="8" w:color="231F20"/>
            </w:tcBorders>
          </w:tcPr>
          <w:p>
            <w:pPr>
              <w:spacing w:after="0"/>
              <w:rPr>
                <w:sz w:val="16"/>
                <w:szCs w:val="16"/>
                <w:color w:val="auto"/>
              </w:rPr>
            </w:pP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102,163,830</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16,276,498</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1,226,667</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7"/>
              </w:rPr>
              <w:t>118,440,328</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7"/>
              </w:rPr>
              <w:t>118,440,328</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NUMBER</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(86.2576%)</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(13.7424%)</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A &amp;</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gridSpan w:val="2"/>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9440" w:type="dxa"/>
            <w:vAlign w:val="bottom"/>
            <w:gridSpan w:val="7"/>
          </w:tcPr>
          <w:p>
            <w:pPr>
              <w:ind w:left="60"/>
              <w:spacing w:after="0" w:line="191" w:lineRule="exact"/>
              <w:rPr>
                <w:sz w:val="20"/>
                <w:szCs w:val="20"/>
                <w:color w:val="auto"/>
              </w:rPr>
            </w:pPr>
            <w:r>
              <w:rPr>
                <w:rFonts w:ascii="Times New Roman" w:cs="Times New Roman" w:eastAsia="Times New Roman" w:hAnsi="Times New Roman"/>
                <w:sz w:val="18"/>
                <w:szCs w:val="18"/>
                <w:color w:val="231F20"/>
                <w:w w:val="98"/>
              </w:rPr>
              <w:t>The resolution has been duly passed as an ordinary resolution with a simple majority of valid votes held by Shareholders (including</w:t>
            </w:r>
          </w:p>
        </w:tc>
        <w:tc>
          <w:tcPr>
            <w:tcW w:w="1120" w:type="dxa"/>
            <w:vAlign w:val="bottom"/>
            <w:tcBorders>
              <w:right w:val="single" w:sz="8" w:color="231F20"/>
            </w:tcBorders>
          </w:tcPr>
          <w:p>
            <w:pPr>
              <w:ind w:left="140"/>
              <w:spacing w:after="0" w:line="191" w:lineRule="exact"/>
              <w:rPr>
                <w:sz w:val="20"/>
                <w:szCs w:val="20"/>
                <w:color w:val="auto"/>
              </w:rPr>
            </w:pPr>
            <w:r>
              <w:rPr>
                <w:rFonts w:ascii="Times New Roman" w:cs="Times New Roman" w:eastAsia="Times New Roman" w:hAnsi="Times New Roman"/>
                <w:sz w:val="18"/>
                <w:szCs w:val="18"/>
                <w:color w:val="231F20"/>
              </w:rPr>
              <w:t>proxies)</w:t>
            </w:r>
          </w:p>
        </w:tc>
        <w:tc>
          <w:tcPr>
            <w:tcW w:w="80" w:type="dxa"/>
            <w:vAlign w:val="bottom"/>
          </w:tcPr>
          <w:p>
            <w:pPr>
              <w:spacing w:after="0"/>
              <w:rPr>
                <w:sz w:val="16"/>
                <w:szCs w:val="16"/>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 w:type="dxa"/>
            <w:vAlign w:val="bottom"/>
            <w:tcBorders>
              <w:left w:val="single" w:sz="8" w:color="231F20"/>
              <w:bottom w:val="single" w:sz="8" w:color="231F20"/>
              <w:right w:val="single" w:sz="8" w:color="231F20"/>
            </w:tcBorders>
          </w:tcPr>
          <w:p>
            <w:pPr>
              <w:spacing w:after="0"/>
              <w:rPr>
                <w:sz w:val="24"/>
                <w:szCs w:val="24"/>
                <w:color w:val="auto"/>
              </w:rPr>
            </w:pPr>
          </w:p>
        </w:tc>
        <w:tc>
          <w:tcPr>
            <w:tcW w:w="38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00" w:type="dxa"/>
            <w:vAlign w:val="bottom"/>
            <w:tcBorders>
              <w:left w:val="single" w:sz="8" w:color="231F20"/>
              <w:right w:val="single" w:sz="8" w:color="231F20"/>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231F20"/>
              </w:rPr>
              <w:t>4.</w:t>
            </w:r>
          </w:p>
        </w:tc>
        <w:tc>
          <w:tcPr>
            <w:tcW w:w="38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w w:val="99"/>
              </w:rPr>
              <w:t>To grant a general mandate to the Directors to allot,</w:t>
            </w: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1020" w:type="dxa"/>
            <w:vAlign w:val="bottom"/>
            <w:tcBorders>
              <w:right w:val="single" w:sz="8" w:color="231F20"/>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26,998,861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issue and deal with Class B Ordinary Shares and/or</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(0.0000%)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ADSs (as defined in the Circular) (including any</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sale or transfer of treasury shares) not exceeding</w:t>
            </w:r>
          </w:p>
        </w:tc>
        <w:tc>
          <w:tcPr>
            <w:tcW w:w="110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178"/>
        </w:trPr>
        <w:tc>
          <w:tcPr>
            <w:tcW w:w="600" w:type="dxa"/>
            <w:vAlign w:val="bottom"/>
            <w:tcBorders>
              <w:left w:val="single" w:sz="8" w:color="231F20"/>
              <w:right w:val="single" w:sz="8" w:color="231F20"/>
            </w:tcBorders>
          </w:tcPr>
          <w:p>
            <w:pPr>
              <w:spacing w:after="0"/>
              <w:rPr>
                <w:sz w:val="15"/>
                <w:szCs w:val="15"/>
                <w:color w:val="auto"/>
              </w:rPr>
            </w:pPr>
          </w:p>
        </w:tc>
        <w:tc>
          <w:tcPr>
            <w:tcW w:w="3820" w:type="dxa"/>
            <w:vAlign w:val="bottom"/>
            <w:tcBorders>
              <w:right w:val="single" w:sz="8" w:color="231F20"/>
            </w:tcBorders>
          </w:tcPr>
          <w:p>
            <w:pPr>
              <w:ind w:left="60"/>
              <w:spacing w:after="0" w:line="177" w:lineRule="exact"/>
              <w:rPr>
                <w:sz w:val="20"/>
                <w:szCs w:val="20"/>
                <w:color w:val="auto"/>
              </w:rPr>
            </w:pPr>
            <w:r>
              <w:rPr>
                <w:rFonts w:ascii="Times New Roman" w:cs="Times New Roman" w:eastAsia="Times New Roman" w:hAnsi="Times New Roman"/>
                <w:sz w:val="18"/>
                <w:szCs w:val="18"/>
                <w:color w:val="231F20"/>
              </w:rPr>
              <w:t>10% of the total number of issued Shares of the</w:t>
            </w:r>
          </w:p>
        </w:tc>
        <w:tc>
          <w:tcPr>
            <w:tcW w:w="1100" w:type="dxa"/>
            <w:vAlign w:val="bottom"/>
          </w:tcPr>
          <w:p>
            <w:pPr>
              <w:spacing w:after="0"/>
              <w:rPr>
                <w:sz w:val="15"/>
                <w:szCs w:val="15"/>
                <w:color w:val="auto"/>
              </w:rPr>
            </w:pPr>
          </w:p>
        </w:tc>
        <w:tc>
          <w:tcPr>
            <w:tcW w:w="14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Company (excluding any treasury shares) as at the</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59,249,042</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33,157,911</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261,181</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92,406,953</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92,406,953</w:t>
            </w: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date of passing of this resolution.</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(64.1175%)</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(35.8825%)</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3820" w:type="dxa"/>
            <w:vAlign w:val="bottom"/>
            <w:tcBorders>
              <w:right w:val="single" w:sz="8" w:color="231F20"/>
            </w:tcBorders>
          </w:tcPr>
          <w:p>
            <w:pPr>
              <w:spacing w:after="0"/>
              <w:rPr>
                <w:sz w:val="16"/>
                <w:szCs w:val="16"/>
                <w:color w:val="auto"/>
              </w:rPr>
            </w:pP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329,237,652</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33,157,911</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261,181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7"/>
              </w:rPr>
              <w:t>119,405,814</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362,395,563</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NUMBER</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(90.8504%)</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(9.1496%)</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A &amp;</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gridSpan w:val="2"/>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9440" w:type="dxa"/>
            <w:vAlign w:val="bottom"/>
            <w:gridSpan w:val="7"/>
          </w:tcPr>
          <w:p>
            <w:pPr>
              <w:ind w:left="60"/>
              <w:spacing w:after="0" w:line="191" w:lineRule="exact"/>
              <w:rPr>
                <w:sz w:val="20"/>
                <w:szCs w:val="20"/>
                <w:color w:val="auto"/>
              </w:rPr>
            </w:pPr>
            <w:r>
              <w:rPr>
                <w:rFonts w:ascii="Times New Roman" w:cs="Times New Roman" w:eastAsia="Times New Roman" w:hAnsi="Times New Roman"/>
                <w:sz w:val="18"/>
                <w:szCs w:val="18"/>
                <w:color w:val="231F20"/>
                <w:w w:val="98"/>
              </w:rPr>
              <w:t>The resolution has been duly passed as an ordinary resolution with a simple majority of valid votes held by Shareholders (including</w:t>
            </w:r>
          </w:p>
        </w:tc>
        <w:tc>
          <w:tcPr>
            <w:tcW w:w="1120" w:type="dxa"/>
            <w:vAlign w:val="bottom"/>
            <w:tcBorders>
              <w:right w:val="single" w:sz="8" w:color="231F20"/>
            </w:tcBorders>
          </w:tcPr>
          <w:p>
            <w:pPr>
              <w:ind w:left="140"/>
              <w:spacing w:after="0" w:line="191" w:lineRule="exact"/>
              <w:rPr>
                <w:sz w:val="20"/>
                <w:szCs w:val="20"/>
                <w:color w:val="auto"/>
              </w:rPr>
            </w:pPr>
            <w:r>
              <w:rPr>
                <w:rFonts w:ascii="Times New Roman" w:cs="Times New Roman" w:eastAsia="Times New Roman" w:hAnsi="Times New Roman"/>
                <w:sz w:val="18"/>
                <w:szCs w:val="18"/>
                <w:color w:val="231F20"/>
              </w:rPr>
              <w:t>proxies)</w:t>
            </w:r>
          </w:p>
        </w:tc>
        <w:tc>
          <w:tcPr>
            <w:tcW w:w="80" w:type="dxa"/>
            <w:vAlign w:val="bottom"/>
          </w:tcPr>
          <w:p>
            <w:pPr>
              <w:spacing w:after="0"/>
              <w:rPr>
                <w:sz w:val="16"/>
                <w:szCs w:val="16"/>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 w:type="dxa"/>
            <w:vAlign w:val="bottom"/>
            <w:tcBorders>
              <w:left w:val="single" w:sz="8" w:color="231F20"/>
              <w:bottom w:val="single" w:sz="8" w:color="231F20"/>
              <w:right w:val="single" w:sz="8" w:color="231F20"/>
            </w:tcBorders>
          </w:tcPr>
          <w:p>
            <w:pPr>
              <w:spacing w:after="0"/>
              <w:rPr>
                <w:sz w:val="24"/>
                <w:szCs w:val="24"/>
                <w:color w:val="auto"/>
              </w:rPr>
            </w:pPr>
          </w:p>
        </w:tc>
        <w:tc>
          <w:tcPr>
            <w:tcW w:w="38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641"/>
        </w:trPr>
        <w:tc>
          <w:tcPr>
            <w:tcW w:w="6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8"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00" w:type="dxa"/>
            <w:vAlign w:val="bottom"/>
            <w:tcBorders>
              <w:top w:val="single" w:sz="8" w:color="231F20"/>
              <w:left w:val="single" w:sz="8" w:color="231F20"/>
            </w:tcBorders>
          </w:tcPr>
          <w:p>
            <w:pPr>
              <w:spacing w:after="0"/>
              <w:rPr>
                <w:sz w:val="18"/>
                <w:szCs w:val="18"/>
                <w:color w:val="auto"/>
              </w:rPr>
            </w:pPr>
          </w:p>
        </w:tc>
        <w:tc>
          <w:tcPr>
            <w:tcW w:w="3820" w:type="dxa"/>
            <w:vAlign w:val="bottom"/>
            <w:tcBorders>
              <w:top w:val="single" w:sz="8" w:color="231F20"/>
            </w:tcBorders>
          </w:tcPr>
          <w:p>
            <w:pPr>
              <w:spacing w:after="0"/>
              <w:rPr>
                <w:sz w:val="18"/>
                <w:szCs w:val="18"/>
                <w:color w:val="auto"/>
              </w:rPr>
            </w:pPr>
          </w:p>
        </w:tc>
        <w:tc>
          <w:tcPr>
            <w:tcW w:w="1100" w:type="dxa"/>
            <w:vAlign w:val="bottom"/>
            <w:tcBorders>
              <w:top w:val="single" w:sz="8" w:color="231F20"/>
            </w:tcBorders>
          </w:tcPr>
          <w:p>
            <w:pPr>
              <w:spacing w:after="0"/>
              <w:rPr>
                <w:sz w:val="18"/>
                <w:szCs w:val="18"/>
                <w:color w:val="auto"/>
              </w:rPr>
            </w:pPr>
          </w:p>
        </w:tc>
        <w:tc>
          <w:tcPr>
            <w:tcW w:w="140" w:type="dxa"/>
            <w:vAlign w:val="bottom"/>
            <w:tcBorders>
              <w:top w:val="single" w:sz="8" w:color="231F20"/>
              <w:right w:val="single" w:sz="8" w:color="231F20"/>
            </w:tcBorders>
          </w:tcPr>
          <w:p>
            <w:pPr>
              <w:spacing w:after="0"/>
              <w:rPr>
                <w:sz w:val="18"/>
                <w:szCs w:val="18"/>
                <w:color w:val="auto"/>
              </w:rPr>
            </w:pPr>
          </w:p>
        </w:tc>
        <w:tc>
          <w:tcPr>
            <w:tcW w:w="3260" w:type="dxa"/>
            <w:vAlign w:val="bottom"/>
            <w:tcBorders>
              <w:top w:val="single" w:sz="8" w:color="231F20"/>
              <w:right w:val="single" w:sz="8" w:color="231F20"/>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NUMBER OF VOTES CAST AND</w:t>
            </w:r>
          </w:p>
        </w:tc>
        <w:tc>
          <w:tcPr>
            <w:tcW w:w="11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120" w:type="dxa"/>
            <w:vAlign w:val="bottom"/>
            <w:tcBorders>
              <w:top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tcBorders>
          </w:tcPr>
          <w:p>
            <w:pPr>
              <w:spacing w:after="0"/>
              <w:rPr>
                <w:sz w:val="18"/>
                <w:szCs w:val="18"/>
                <w:color w:val="auto"/>
              </w:rPr>
            </w:pPr>
          </w:p>
        </w:tc>
        <w:tc>
          <w:tcPr>
            <w:tcW w:w="3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231F20"/>
            </w:tcBorders>
          </w:tcPr>
          <w:p>
            <w:pPr>
              <w:spacing w:after="0"/>
              <w:rPr>
                <w:sz w:val="18"/>
                <w:szCs w:val="18"/>
                <w:color w:val="auto"/>
              </w:rPr>
            </w:pPr>
          </w:p>
        </w:tc>
        <w:tc>
          <w:tcPr>
            <w:tcW w:w="3260" w:type="dxa"/>
            <w:vAlign w:val="bottom"/>
            <w:tcBorders>
              <w:right w:val="single" w:sz="8" w:color="231F20"/>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tcBorders>
          </w:tcPr>
          <w:p>
            <w:pPr>
              <w:spacing w:after="0"/>
              <w:rPr>
                <w:sz w:val="18"/>
                <w:szCs w:val="18"/>
                <w:color w:val="auto"/>
              </w:rPr>
            </w:pPr>
          </w:p>
        </w:tc>
        <w:tc>
          <w:tcPr>
            <w:tcW w:w="3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231F20"/>
            </w:tcBorders>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r>
      <w:tr>
        <w:trPr>
          <w:trHeight w:val="238"/>
        </w:trPr>
        <w:tc>
          <w:tcPr>
            <w:tcW w:w="600" w:type="dxa"/>
            <w:vAlign w:val="bottom"/>
            <w:tcBorders>
              <w:left w:val="single" w:sz="8" w:color="231F20"/>
            </w:tcBorders>
          </w:tcPr>
          <w:p>
            <w:pPr>
              <w:spacing w:after="0"/>
              <w:rPr>
                <w:sz w:val="20"/>
                <w:szCs w:val="20"/>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100" w:type="dxa"/>
            <w:vAlign w:val="bottom"/>
          </w:tcPr>
          <w:p>
            <w:pPr>
              <w:spacing w:after="0"/>
              <w:rPr>
                <w:sz w:val="20"/>
                <w:szCs w:val="20"/>
                <w:color w:val="auto"/>
              </w:rPr>
            </w:pPr>
          </w:p>
        </w:tc>
        <w:tc>
          <w:tcPr>
            <w:tcW w:w="140" w:type="dxa"/>
            <w:vAlign w:val="bottom"/>
            <w:tcBorders>
              <w:right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VOTES</w:t>
            </w:r>
          </w:p>
        </w:tc>
        <w:tc>
          <w:tcPr>
            <w:tcW w:w="80" w:type="dxa"/>
            <w:vAlign w:val="bottom"/>
          </w:tcPr>
          <w:p>
            <w:pPr>
              <w:spacing w:after="0"/>
              <w:rPr>
                <w:sz w:val="20"/>
                <w:szCs w:val="20"/>
                <w:color w:val="auto"/>
              </w:rPr>
            </w:pPr>
          </w:p>
        </w:tc>
      </w:tr>
      <w:tr>
        <w:trPr>
          <w:trHeight w:val="250"/>
        </w:trPr>
        <w:tc>
          <w:tcPr>
            <w:tcW w:w="600" w:type="dxa"/>
            <w:vAlign w:val="bottom"/>
            <w:tcBorders>
              <w:left w:val="single" w:sz="8" w:color="231F20"/>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231F20"/>
            </w:tcBorders>
          </w:tcPr>
          <w:p>
            <w:pPr>
              <w:spacing w:after="0"/>
              <w:rPr>
                <w:sz w:val="21"/>
                <w:szCs w:val="21"/>
                <w:color w:val="auto"/>
              </w:rPr>
            </w:pPr>
          </w:p>
        </w:tc>
        <w:tc>
          <w:tcPr>
            <w:tcW w:w="1240" w:type="dxa"/>
            <w:vAlign w:val="bottom"/>
            <w:tcBorders>
              <w:bottom w:val="single" w:sz="8" w:color="auto"/>
              <w:right w:val="single" w:sz="8" w:color="231F20"/>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000" w:type="dxa"/>
            <w:vAlign w:val="bottom"/>
            <w:tcBorders>
              <w:bottom w:val="single" w:sz="8" w:color="auto"/>
              <w:right w:val="single" w:sz="8" w:color="231F20"/>
            </w:tcBorders>
          </w:tcPr>
          <w:p>
            <w:pPr>
              <w:ind w:left="40"/>
              <w:spacing w:after="0" w:line="250" w:lineRule="exact"/>
              <w:rPr>
                <w:sz w:val="20"/>
                <w:szCs w:val="20"/>
                <w:color w:val="auto"/>
              </w:rPr>
            </w:pP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28"/>
                <w:szCs w:val="28"/>
                <w:b w:val="1"/>
                <w:bCs w:val="1"/>
                <w:color w:val="auto"/>
                <w:vertAlign w:val="superscript"/>
              </w:rPr>
              <w:t>1</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80" w:type="dxa"/>
            <w:vAlign w:val="bottom"/>
          </w:tcPr>
          <w:p>
            <w:pPr>
              <w:spacing w:after="0"/>
              <w:rPr>
                <w:sz w:val="21"/>
                <w:szCs w:val="21"/>
                <w:color w:val="auto"/>
              </w:rPr>
            </w:pPr>
          </w:p>
        </w:tc>
      </w:tr>
      <w:tr>
        <w:trPr>
          <w:trHeight w:val="191"/>
        </w:trPr>
        <w:tc>
          <w:tcPr>
            <w:tcW w:w="600" w:type="dxa"/>
            <w:vAlign w:val="bottom"/>
            <w:tcBorders>
              <w:left w:val="single" w:sz="8" w:color="231F20"/>
              <w:right w:val="single" w:sz="8" w:color="231F20"/>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231F20"/>
              </w:rPr>
              <w:t>5.</w:t>
            </w:r>
          </w:p>
        </w:tc>
        <w:tc>
          <w:tcPr>
            <w:tcW w:w="38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rPr>
              <w:t>To grant a general mandate to the Directors to</w:t>
            </w: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26,998,861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repurchase Class B Ordinary Shares and/ or ADSs</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(0.0000%)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of the Company not exceeding 10% of the total</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number of issued shares of the Company</w:t>
            </w:r>
          </w:p>
        </w:tc>
        <w:tc>
          <w:tcPr>
            <w:tcW w:w="110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178"/>
        </w:trPr>
        <w:tc>
          <w:tcPr>
            <w:tcW w:w="600" w:type="dxa"/>
            <w:vAlign w:val="bottom"/>
            <w:tcBorders>
              <w:left w:val="single" w:sz="8" w:color="231F20"/>
              <w:right w:val="single" w:sz="8" w:color="231F20"/>
            </w:tcBorders>
          </w:tcPr>
          <w:p>
            <w:pPr>
              <w:spacing w:after="0"/>
              <w:rPr>
                <w:sz w:val="15"/>
                <w:szCs w:val="15"/>
                <w:color w:val="auto"/>
              </w:rPr>
            </w:pPr>
          </w:p>
        </w:tc>
        <w:tc>
          <w:tcPr>
            <w:tcW w:w="3820" w:type="dxa"/>
            <w:vAlign w:val="bottom"/>
            <w:tcBorders>
              <w:right w:val="single" w:sz="8" w:color="231F20"/>
            </w:tcBorders>
          </w:tcPr>
          <w:p>
            <w:pPr>
              <w:ind w:left="60"/>
              <w:spacing w:after="0" w:line="177" w:lineRule="exact"/>
              <w:rPr>
                <w:sz w:val="20"/>
                <w:szCs w:val="20"/>
                <w:color w:val="auto"/>
              </w:rPr>
            </w:pPr>
            <w:r>
              <w:rPr>
                <w:rFonts w:ascii="Times New Roman" w:cs="Times New Roman" w:eastAsia="Times New Roman" w:hAnsi="Times New Roman"/>
                <w:sz w:val="18"/>
                <w:szCs w:val="18"/>
                <w:color w:val="231F20"/>
              </w:rPr>
              <w:t>(excluding treasury shares) as at the date of passing</w:t>
            </w:r>
          </w:p>
        </w:tc>
        <w:tc>
          <w:tcPr>
            <w:tcW w:w="1100" w:type="dxa"/>
            <w:vAlign w:val="bottom"/>
          </w:tcPr>
          <w:p>
            <w:pPr>
              <w:spacing w:after="0"/>
              <w:rPr>
                <w:sz w:val="15"/>
                <w:szCs w:val="15"/>
                <w:color w:val="auto"/>
              </w:rPr>
            </w:pPr>
          </w:p>
        </w:tc>
        <w:tc>
          <w:tcPr>
            <w:tcW w:w="14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of this resolution.</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91,858,051</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555,123</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254,960</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92,413,174</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92,413,174</w:t>
            </w: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(99.3993%)</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(0.6007%)</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 w:type="dxa"/>
            <w:vAlign w:val="bottom"/>
            <w:tcBorders>
              <w:left w:val="single" w:sz="8" w:color="231F20"/>
              <w:right w:val="single" w:sz="8" w:color="231F20"/>
            </w:tcBorders>
          </w:tcPr>
          <w:p>
            <w:pPr>
              <w:spacing w:after="0"/>
              <w:rPr>
                <w:sz w:val="24"/>
                <w:szCs w:val="24"/>
                <w:color w:val="auto"/>
              </w:rPr>
            </w:pPr>
          </w:p>
        </w:tc>
        <w:tc>
          <w:tcPr>
            <w:tcW w:w="3820" w:type="dxa"/>
            <w:vAlign w:val="bottom"/>
            <w:tcBorders>
              <w:right w:val="single" w:sz="8" w:color="231F20"/>
            </w:tcBorders>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24"/>
                <w:szCs w:val="24"/>
                <w:color w:val="auto"/>
              </w:rPr>
            </w:pPr>
          </w:p>
        </w:tc>
        <w:tc>
          <w:tcPr>
            <w:tcW w:w="1240" w:type="dxa"/>
            <w:vAlign w:val="bottom"/>
            <w:tcBorders>
              <w:right w:val="single" w:sz="8" w:color="231F20"/>
            </w:tcBorders>
          </w:tcPr>
          <w:p>
            <w:pPr>
              <w:spacing w:after="0"/>
              <w:rPr>
                <w:sz w:val="24"/>
                <w:szCs w:val="24"/>
                <w:color w:val="auto"/>
              </w:rPr>
            </w:pPr>
          </w:p>
        </w:tc>
        <w:tc>
          <w:tcPr>
            <w:tcW w:w="1020" w:type="dxa"/>
            <w:vAlign w:val="bottom"/>
            <w:tcBorders>
              <w:right w:val="single" w:sz="8" w:color="231F20"/>
            </w:tcBorders>
          </w:tcPr>
          <w:p>
            <w:pPr>
              <w:spacing w:after="0"/>
              <w:rPr>
                <w:sz w:val="24"/>
                <w:szCs w:val="24"/>
                <w:color w:val="auto"/>
              </w:rPr>
            </w:pPr>
          </w:p>
        </w:tc>
        <w:tc>
          <w:tcPr>
            <w:tcW w:w="1000" w:type="dxa"/>
            <w:vAlign w:val="bottom"/>
            <w:tcBorders>
              <w:right w:val="single" w:sz="8" w:color="231F20"/>
            </w:tcBorders>
          </w:tcPr>
          <w:p>
            <w:pPr>
              <w:spacing w:after="0"/>
              <w:rPr>
                <w:sz w:val="24"/>
                <w:szCs w:val="24"/>
                <w:color w:val="auto"/>
              </w:rPr>
            </w:pPr>
          </w:p>
        </w:tc>
        <w:tc>
          <w:tcPr>
            <w:tcW w:w="1120" w:type="dxa"/>
            <w:vAlign w:val="bottom"/>
            <w:tcBorders>
              <w:right w:val="single" w:sz="8" w:color="231F20"/>
            </w:tcBorders>
          </w:tcPr>
          <w:p>
            <w:pPr>
              <w:spacing w:after="0"/>
              <w:rPr>
                <w:sz w:val="24"/>
                <w:szCs w:val="24"/>
                <w:color w:val="auto"/>
              </w:rPr>
            </w:pPr>
          </w:p>
        </w:tc>
        <w:tc>
          <w:tcPr>
            <w:tcW w:w="1120" w:type="dxa"/>
            <w:vAlign w:val="bottom"/>
            <w:tcBorders>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3820" w:type="dxa"/>
            <w:vAlign w:val="bottom"/>
            <w:tcBorders>
              <w:right w:val="single" w:sz="8" w:color="231F20"/>
            </w:tcBorders>
          </w:tcPr>
          <w:p>
            <w:pPr>
              <w:spacing w:after="0"/>
              <w:rPr>
                <w:sz w:val="16"/>
                <w:szCs w:val="16"/>
                <w:color w:val="auto"/>
              </w:rPr>
            </w:pP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361,846,661</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555,123</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254,960</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7"/>
              </w:rPr>
              <w:t>119,412,035</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362,401,784</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NUMBER</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(99.8468%)</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(0.1532%)</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A &amp;</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gridSpan w:val="2"/>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10560" w:type="dxa"/>
            <w:vAlign w:val="bottom"/>
            <w:tcBorders>
              <w:right w:val="single" w:sz="8" w:color="231F20"/>
            </w:tcBorders>
            <w:gridSpan w:val="8"/>
          </w:tcPr>
          <w:p>
            <w:pPr>
              <w:ind w:left="60"/>
              <w:spacing w:after="0" w:line="191" w:lineRule="exact"/>
              <w:rPr>
                <w:sz w:val="20"/>
                <w:szCs w:val="20"/>
                <w:color w:val="auto"/>
              </w:rPr>
            </w:pPr>
            <w:r>
              <w:rPr>
                <w:rFonts w:ascii="Times New Roman" w:cs="Times New Roman" w:eastAsia="Times New Roman" w:hAnsi="Times New Roman"/>
                <w:sz w:val="18"/>
                <w:szCs w:val="18"/>
                <w:color w:val="231F20"/>
              </w:rPr>
              <w:t>The resolution has been duly passed as an ordinary resolution with a simple majority of valid votes held by Shareholders (including proxies)</w:t>
            </w:r>
          </w:p>
        </w:tc>
        <w:tc>
          <w:tcPr>
            <w:tcW w:w="80" w:type="dxa"/>
            <w:vAlign w:val="bottom"/>
          </w:tcPr>
          <w:p>
            <w:pPr>
              <w:spacing w:after="0"/>
              <w:rPr>
                <w:sz w:val="16"/>
                <w:szCs w:val="16"/>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 w:type="dxa"/>
            <w:vAlign w:val="bottom"/>
            <w:tcBorders>
              <w:left w:val="single" w:sz="8" w:color="231F20"/>
              <w:bottom w:val="single" w:sz="8" w:color="231F20"/>
              <w:right w:val="single" w:sz="8" w:color="231F20"/>
            </w:tcBorders>
          </w:tcPr>
          <w:p>
            <w:pPr>
              <w:spacing w:after="0"/>
              <w:rPr>
                <w:sz w:val="24"/>
                <w:szCs w:val="24"/>
                <w:color w:val="auto"/>
              </w:rPr>
            </w:pPr>
          </w:p>
        </w:tc>
        <w:tc>
          <w:tcPr>
            <w:tcW w:w="38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00" w:type="dxa"/>
            <w:vAlign w:val="bottom"/>
            <w:tcBorders>
              <w:left w:val="single" w:sz="8" w:color="231F20"/>
              <w:right w:val="single" w:sz="8" w:color="231F20"/>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231F20"/>
              </w:rPr>
              <w:t>6.</w:t>
            </w:r>
          </w:p>
        </w:tc>
        <w:tc>
          <w:tcPr>
            <w:tcW w:w="38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rPr>
              <w:t>To extend the general mandate granted to the</w:t>
            </w: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26,998,861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Directors to allot, issue and deal with additional</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(100.0000%)</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(0.0000%)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Class B Ordinary Shares and/or ADSs (including</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any sale and/or transfer of Class B Ordinary Shares</w:t>
            </w:r>
          </w:p>
        </w:tc>
        <w:tc>
          <w:tcPr>
            <w:tcW w:w="110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178"/>
        </w:trPr>
        <w:tc>
          <w:tcPr>
            <w:tcW w:w="600" w:type="dxa"/>
            <w:vAlign w:val="bottom"/>
            <w:tcBorders>
              <w:left w:val="single" w:sz="8" w:color="231F20"/>
              <w:right w:val="single" w:sz="8" w:color="231F20"/>
            </w:tcBorders>
          </w:tcPr>
          <w:p>
            <w:pPr>
              <w:spacing w:after="0"/>
              <w:rPr>
                <w:sz w:val="15"/>
                <w:szCs w:val="15"/>
                <w:color w:val="auto"/>
              </w:rPr>
            </w:pPr>
          </w:p>
        </w:tc>
        <w:tc>
          <w:tcPr>
            <w:tcW w:w="3820" w:type="dxa"/>
            <w:vAlign w:val="bottom"/>
            <w:tcBorders>
              <w:right w:val="single" w:sz="8" w:color="231F20"/>
            </w:tcBorders>
          </w:tcPr>
          <w:p>
            <w:pPr>
              <w:ind w:left="60"/>
              <w:spacing w:after="0" w:line="177" w:lineRule="exact"/>
              <w:rPr>
                <w:sz w:val="20"/>
                <w:szCs w:val="20"/>
                <w:color w:val="auto"/>
              </w:rPr>
            </w:pPr>
            <w:r>
              <w:rPr>
                <w:rFonts w:ascii="Times New Roman" w:cs="Times New Roman" w:eastAsia="Times New Roman" w:hAnsi="Times New Roman"/>
                <w:sz w:val="18"/>
                <w:szCs w:val="18"/>
                <w:color w:val="231F20"/>
              </w:rPr>
              <w:t>out of treasury that are held as treasury shares) by</w:t>
            </w:r>
          </w:p>
        </w:tc>
        <w:tc>
          <w:tcPr>
            <w:tcW w:w="1100" w:type="dxa"/>
            <w:vAlign w:val="bottom"/>
          </w:tcPr>
          <w:p>
            <w:pPr>
              <w:spacing w:after="0"/>
              <w:rPr>
                <w:sz w:val="15"/>
                <w:szCs w:val="15"/>
                <w:color w:val="auto"/>
              </w:rPr>
            </w:pPr>
          </w:p>
        </w:tc>
        <w:tc>
          <w:tcPr>
            <w:tcW w:w="14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the number of Class B Ordinary Shares and/or</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59,658,970</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32,752,419</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256,745</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92,411,389</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92,411,389</w:t>
            </w: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Class B Ordinary Shares underlying ADSs of</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(64.5580%)</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(35.4420%)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repurchased by the Company.</w:t>
            </w:r>
          </w:p>
        </w:tc>
        <w:tc>
          <w:tcPr>
            <w:tcW w:w="11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3820" w:type="dxa"/>
            <w:vAlign w:val="bottom"/>
            <w:tcBorders>
              <w:right w:val="single" w:sz="8" w:color="231F20"/>
            </w:tcBorders>
          </w:tcPr>
          <w:p>
            <w:pPr>
              <w:spacing w:after="0"/>
              <w:rPr>
                <w:sz w:val="16"/>
                <w:szCs w:val="16"/>
                <w:color w:val="auto"/>
              </w:rPr>
            </w:pPr>
          </w:p>
        </w:tc>
        <w:tc>
          <w:tcPr>
            <w:tcW w:w="11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231F20"/>
              </w:rPr>
              <w:t>TOTAL</w:t>
            </w:r>
          </w:p>
        </w:tc>
        <w:tc>
          <w:tcPr>
            <w:tcW w:w="14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329,647,580</w:t>
            </w:r>
          </w:p>
        </w:tc>
        <w:tc>
          <w:tcPr>
            <w:tcW w:w="10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32,752,419</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256,745</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7"/>
              </w:rPr>
              <w:t>119,410,250</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362,399,999</w:t>
            </w:r>
          </w:p>
        </w:tc>
        <w:tc>
          <w:tcPr>
            <w:tcW w:w="80" w:type="dxa"/>
            <w:vAlign w:val="bottom"/>
          </w:tcPr>
          <w:p>
            <w:pPr>
              <w:spacing w:after="0"/>
              <w:rPr>
                <w:sz w:val="16"/>
                <w:szCs w:val="16"/>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NUMBER</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(90.9624%)</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(9.0376%)</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right w:val="single" w:sz="8" w:color="231F20"/>
            </w:tcBorders>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A &amp;</w:t>
            </w:r>
          </w:p>
        </w:tc>
        <w:tc>
          <w:tcPr>
            <w:tcW w:w="1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Borders>
              <w:right w:val="single" w:sz="8" w:color="231F20"/>
            </w:tcBorders>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4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3820" w:type="dxa"/>
            <w:vAlign w:val="bottom"/>
            <w:tcBorders>
              <w:bottom w:val="single" w:sz="8" w:color="231F20"/>
              <w:right w:val="single" w:sz="8" w:color="231F20"/>
            </w:tcBorders>
          </w:tcPr>
          <w:p>
            <w:pPr>
              <w:spacing w:after="0"/>
              <w:rPr>
                <w:sz w:val="18"/>
                <w:szCs w:val="18"/>
                <w:color w:val="auto"/>
              </w:rPr>
            </w:pPr>
          </w:p>
        </w:tc>
        <w:tc>
          <w:tcPr>
            <w:tcW w:w="1240" w:type="dxa"/>
            <w:vAlign w:val="bottom"/>
            <w:tcBorders>
              <w:bottom w:val="single" w:sz="8" w:color="231F20"/>
              <w:right w:val="single" w:sz="8" w:color="231F20"/>
            </w:tcBorders>
            <w:gridSpan w:val="2"/>
          </w:tcPr>
          <w:p>
            <w:pPr>
              <w:spacing w:after="0"/>
              <w:rPr>
                <w:sz w:val="18"/>
                <w:szCs w:val="18"/>
                <w:color w:val="auto"/>
              </w:rPr>
            </w:pPr>
          </w:p>
        </w:tc>
        <w:tc>
          <w:tcPr>
            <w:tcW w:w="1240" w:type="dxa"/>
            <w:vAlign w:val="bottom"/>
            <w:tcBorders>
              <w:bottom w:val="single" w:sz="8" w:color="231F20"/>
              <w:right w:val="single" w:sz="8" w:color="231F20"/>
            </w:tcBorders>
          </w:tcPr>
          <w:p>
            <w:pPr>
              <w:spacing w:after="0"/>
              <w:rPr>
                <w:sz w:val="18"/>
                <w:szCs w:val="18"/>
                <w:color w:val="auto"/>
              </w:rPr>
            </w:pPr>
          </w:p>
        </w:tc>
        <w:tc>
          <w:tcPr>
            <w:tcW w:w="1020" w:type="dxa"/>
            <w:vAlign w:val="bottom"/>
            <w:tcBorders>
              <w:bottom w:val="single" w:sz="8" w:color="231F20"/>
              <w:right w:val="single" w:sz="8" w:color="231F20"/>
            </w:tcBorders>
          </w:tcPr>
          <w:p>
            <w:pPr>
              <w:spacing w:after="0"/>
              <w:rPr>
                <w:sz w:val="18"/>
                <w:szCs w:val="18"/>
                <w:color w:val="auto"/>
              </w:rPr>
            </w:pPr>
          </w:p>
        </w:tc>
        <w:tc>
          <w:tcPr>
            <w:tcW w:w="100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1120" w:type="dxa"/>
            <w:vAlign w:val="bottom"/>
            <w:tcBorders>
              <w:bottom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600" w:type="dxa"/>
            <w:vAlign w:val="bottom"/>
            <w:tcBorders>
              <w:left w:val="single" w:sz="8" w:color="231F20"/>
              <w:right w:val="single" w:sz="8" w:color="231F20"/>
            </w:tcBorders>
          </w:tcPr>
          <w:p>
            <w:pPr>
              <w:spacing w:after="0"/>
              <w:rPr>
                <w:sz w:val="16"/>
                <w:szCs w:val="16"/>
                <w:color w:val="auto"/>
              </w:rPr>
            </w:pPr>
          </w:p>
        </w:tc>
        <w:tc>
          <w:tcPr>
            <w:tcW w:w="9440" w:type="dxa"/>
            <w:vAlign w:val="bottom"/>
            <w:gridSpan w:val="7"/>
          </w:tcPr>
          <w:p>
            <w:pPr>
              <w:ind w:left="60"/>
              <w:spacing w:after="0" w:line="191" w:lineRule="exact"/>
              <w:rPr>
                <w:sz w:val="20"/>
                <w:szCs w:val="20"/>
                <w:color w:val="auto"/>
              </w:rPr>
            </w:pPr>
            <w:r>
              <w:rPr>
                <w:rFonts w:ascii="Times New Roman" w:cs="Times New Roman" w:eastAsia="Times New Roman" w:hAnsi="Times New Roman"/>
                <w:sz w:val="18"/>
                <w:szCs w:val="18"/>
                <w:color w:val="231F20"/>
                <w:w w:val="98"/>
              </w:rPr>
              <w:t>The resolution has been duly passed as an ordinary resolution with a simple majority of valid votes held by Shareholders (including</w:t>
            </w:r>
          </w:p>
        </w:tc>
        <w:tc>
          <w:tcPr>
            <w:tcW w:w="1120" w:type="dxa"/>
            <w:vAlign w:val="bottom"/>
            <w:tcBorders>
              <w:right w:val="single" w:sz="8" w:color="231F20"/>
            </w:tcBorders>
          </w:tcPr>
          <w:p>
            <w:pPr>
              <w:ind w:left="140"/>
              <w:spacing w:after="0" w:line="191" w:lineRule="exact"/>
              <w:rPr>
                <w:sz w:val="20"/>
                <w:szCs w:val="20"/>
                <w:color w:val="auto"/>
              </w:rPr>
            </w:pPr>
            <w:r>
              <w:rPr>
                <w:rFonts w:ascii="Times New Roman" w:cs="Times New Roman" w:eastAsia="Times New Roman" w:hAnsi="Times New Roman"/>
                <w:sz w:val="18"/>
                <w:szCs w:val="18"/>
                <w:color w:val="231F20"/>
              </w:rPr>
              <w:t>proxies)</w:t>
            </w:r>
          </w:p>
        </w:tc>
        <w:tc>
          <w:tcPr>
            <w:tcW w:w="80" w:type="dxa"/>
            <w:vAlign w:val="bottom"/>
          </w:tcPr>
          <w:p>
            <w:pPr>
              <w:spacing w:after="0"/>
              <w:rPr>
                <w:sz w:val="16"/>
                <w:szCs w:val="16"/>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attending the AGM cast in favour thereof.</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 w:type="dxa"/>
            <w:vAlign w:val="bottom"/>
            <w:tcBorders>
              <w:left w:val="single" w:sz="8" w:color="231F20"/>
              <w:bottom w:val="single" w:sz="8" w:color="231F20"/>
              <w:right w:val="single" w:sz="8" w:color="231F20"/>
            </w:tcBorders>
          </w:tcPr>
          <w:p>
            <w:pPr>
              <w:spacing w:after="0"/>
              <w:rPr>
                <w:sz w:val="24"/>
                <w:szCs w:val="24"/>
                <w:color w:val="auto"/>
              </w:rPr>
            </w:pPr>
          </w:p>
        </w:tc>
        <w:tc>
          <w:tcPr>
            <w:tcW w:w="38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80" w:type="dxa"/>
            <w:vAlign w:val="bottom"/>
          </w:tcPr>
          <w:p>
            <w:pPr>
              <w:spacing w:after="0"/>
              <w:rPr>
                <w:sz w:val="24"/>
                <w:szCs w:val="24"/>
                <w:color w:val="auto"/>
              </w:rPr>
            </w:pPr>
          </w:p>
        </w:tc>
      </w:tr>
      <w:tr>
        <w:trPr>
          <w:trHeight w:val="858"/>
        </w:trPr>
        <w:tc>
          <w:tcPr>
            <w:tcW w:w="6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0" w:type="dxa"/>
            <w:vAlign w:val="bottom"/>
            <w:tcBorders>
              <w:top w:val="single" w:sz="8" w:color="231F20"/>
              <w:left w:val="single" w:sz="8" w:color="231F20"/>
            </w:tcBorders>
          </w:tcPr>
          <w:p>
            <w:pPr>
              <w:spacing w:after="0"/>
              <w:rPr>
                <w:sz w:val="18"/>
                <w:szCs w:val="18"/>
                <w:color w:val="auto"/>
              </w:rPr>
            </w:pPr>
          </w:p>
        </w:tc>
        <w:tc>
          <w:tcPr>
            <w:tcW w:w="3880" w:type="dxa"/>
            <w:vAlign w:val="bottom"/>
            <w:tcBorders>
              <w:top w:val="single" w:sz="8" w:color="231F20"/>
            </w:tcBorders>
          </w:tcPr>
          <w:p>
            <w:pPr>
              <w:spacing w:after="0"/>
              <w:rPr>
                <w:sz w:val="18"/>
                <w:szCs w:val="18"/>
                <w:color w:val="auto"/>
              </w:rPr>
            </w:pPr>
          </w:p>
        </w:tc>
        <w:tc>
          <w:tcPr>
            <w:tcW w:w="1220" w:type="dxa"/>
            <w:vAlign w:val="bottom"/>
            <w:tcBorders>
              <w:top w:val="single" w:sz="8" w:color="231F20"/>
              <w:right w:val="single" w:sz="8" w:color="231F20"/>
            </w:tcBorders>
          </w:tcPr>
          <w:p>
            <w:pPr>
              <w:spacing w:after="0"/>
              <w:rPr>
                <w:sz w:val="18"/>
                <w:szCs w:val="18"/>
                <w:color w:val="auto"/>
              </w:rPr>
            </w:pPr>
          </w:p>
        </w:tc>
        <w:tc>
          <w:tcPr>
            <w:tcW w:w="3240" w:type="dxa"/>
            <w:vAlign w:val="bottom"/>
            <w:tcBorders>
              <w:top w:val="single" w:sz="8" w:color="231F20"/>
              <w:right w:val="single" w:sz="8" w:color="231F20"/>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NUMBER OF VOTES CAST AND</w:t>
            </w:r>
          </w:p>
        </w:tc>
        <w:tc>
          <w:tcPr>
            <w:tcW w:w="11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120" w:type="dxa"/>
            <w:vAlign w:val="bottom"/>
            <w:tcBorders>
              <w:top w:val="single" w:sz="8" w:color="231F20"/>
              <w:right w:val="single" w:sz="8" w:color="231F20"/>
            </w:tcBorders>
          </w:tcPr>
          <w:p>
            <w:pPr>
              <w:spacing w:after="0"/>
              <w:rPr>
                <w:sz w:val="18"/>
                <w:szCs w:val="18"/>
                <w:color w:val="auto"/>
              </w:rPr>
            </w:pPr>
          </w:p>
        </w:tc>
      </w:tr>
      <w:tr>
        <w:trPr>
          <w:trHeight w:val="216"/>
        </w:trPr>
        <w:tc>
          <w:tcPr>
            <w:tcW w:w="580" w:type="dxa"/>
            <w:vAlign w:val="bottom"/>
            <w:tcBorders>
              <w:left w:val="single" w:sz="8" w:color="231F20"/>
            </w:tcBorders>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3240" w:type="dxa"/>
            <w:vAlign w:val="bottom"/>
            <w:tcBorders>
              <w:right w:val="single" w:sz="8" w:color="231F20"/>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r>
      <w:tr>
        <w:trPr>
          <w:trHeight w:val="216"/>
        </w:trPr>
        <w:tc>
          <w:tcPr>
            <w:tcW w:w="580" w:type="dxa"/>
            <w:vAlign w:val="bottom"/>
            <w:tcBorders>
              <w:left w:val="single" w:sz="8" w:color="231F20"/>
            </w:tcBorders>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38"/>
        </w:trPr>
        <w:tc>
          <w:tcPr>
            <w:tcW w:w="580" w:type="dxa"/>
            <w:vAlign w:val="bottom"/>
            <w:tcBorders>
              <w:left w:val="single" w:sz="8" w:color="231F20"/>
            </w:tcBorders>
          </w:tcPr>
          <w:p>
            <w:pPr>
              <w:spacing w:after="0"/>
              <w:rPr>
                <w:sz w:val="20"/>
                <w:szCs w:val="20"/>
                <w:color w:val="auto"/>
              </w:rPr>
            </w:pPr>
          </w:p>
        </w:tc>
        <w:tc>
          <w:tcPr>
            <w:tcW w:w="38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220" w:type="dxa"/>
            <w:vAlign w:val="bottom"/>
            <w:tcBorders>
              <w:right w:val="single" w:sz="8" w:color="231F20"/>
            </w:tcBorders>
          </w:tcPr>
          <w:p>
            <w:pPr>
              <w:spacing w:after="0"/>
              <w:rPr>
                <w:sz w:val="20"/>
                <w:szCs w:val="20"/>
                <w:color w:val="auto"/>
              </w:rPr>
            </w:pPr>
          </w:p>
        </w:tc>
        <w:tc>
          <w:tcPr>
            <w:tcW w:w="12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VOTES</w:t>
            </w:r>
          </w:p>
        </w:tc>
      </w:tr>
      <w:tr>
        <w:trPr>
          <w:trHeight w:val="344"/>
        </w:trPr>
        <w:tc>
          <w:tcPr>
            <w:tcW w:w="580" w:type="dxa"/>
            <w:vAlign w:val="bottom"/>
            <w:tcBorders>
              <w:left w:val="single" w:sz="8" w:color="231F20"/>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231F20"/>
            </w:tcBorders>
          </w:tcPr>
          <w:p>
            <w:pPr>
              <w:spacing w:after="0"/>
              <w:rPr>
                <w:sz w:val="24"/>
                <w:szCs w:val="24"/>
                <w:color w:val="auto"/>
              </w:rPr>
            </w:pPr>
          </w:p>
        </w:tc>
        <w:tc>
          <w:tcPr>
            <w:tcW w:w="1220" w:type="dxa"/>
            <w:vAlign w:val="bottom"/>
            <w:tcBorders>
              <w:bottom w:val="single" w:sz="8" w:color="auto"/>
              <w:right w:val="single" w:sz="8" w:color="231F20"/>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000" w:type="dxa"/>
            <w:vAlign w:val="bottom"/>
            <w:tcBorders>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29"/>
                <w:szCs w:val="29"/>
                <w:b w:val="1"/>
                <w:bCs w:val="1"/>
                <w:color w:val="auto"/>
                <w:vertAlign w:val="superscript"/>
              </w:rPr>
              <w:t>1</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r>
      <w:tr>
        <w:trPr>
          <w:trHeight w:val="191"/>
        </w:trPr>
        <w:tc>
          <w:tcPr>
            <w:tcW w:w="580" w:type="dxa"/>
            <w:vAlign w:val="bottom"/>
            <w:tcBorders>
              <w:left w:val="single" w:sz="8" w:color="231F20"/>
              <w:right w:val="single" w:sz="8" w:color="231F20"/>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231F20"/>
              </w:rPr>
              <w:t>7.</w:t>
            </w:r>
          </w:p>
        </w:tc>
        <w:tc>
          <w:tcPr>
            <w:tcW w:w="388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rPr>
              <w:t>Subject to and conditional upon (i) the Hong Kong</w:t>
            </w:r>
          </w:p>
        </w:tc>
        <w:tc>
          <w:tcPr>
            <w:tcW w:w="12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A</w:t>
            </w:r>
          </w:p>
        </w:tc>
        <w:tc>
          <w:tcPr>
            <w:tcW w:w="1220" w:type="dxa"/>
            <w:vAlign w:val="bottom"/>
            <w:tcBorders>
              <w:right w:val="single" w:sz="8" w:color="231F20"/>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231F20"/>
              </w:rPr>
              <w:t>269,988,610</w:t>
            </w:r>
          </w:p>
        </w:tc>
        <w:tc>
          <w:tcPr>
            <w:tcW w:w="1020" w:type="dxa"/>
            <w:vAlign w:val="bottom"/>
            <w:tcBorders>
              <w:right w:val="single" w:sz="8" w:color="231F20"/>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231F20"/>
              </w:rPr>
              <w:t>–</w:t>
            </w:r>
          </w:p>
        </w:tc>
        <w:tc>
          <w:tcPr>
            <w:tcW w:w="10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26,998,861</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9"/>
              </w:rPr>
              <w:t>269,988,610</w:t>
            </w: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Stock Exchange granting the listing of, and</w:t>
            </w:r>
          </w:p>
        </w:tc>
        <w:tc>
          <w:tcPr>
            <w:tcW w:w="1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220" w:type="dxa"/>
            <w:vAlign w:val="bottom"/>
            <w:tcBorders>
              <w:right w:val="single" w:sz="8" w:color="231F20"/>
            </w:tcBorders>
          </w:tcPr>
          <w:p>
            <w:pPr>
              <w:jc w:val="right"/>
              <w:ind w:right="50"/>
              <w:spacing w:after="0"/>
              <w:rPr>
                <w:sz w:val="20"/>
                <w:szCs w:val="20"/>
                <w:color w:val="auto"/>
              </w:rPr>
            </w:pPr>
            <w:r>
              <w:rPr>
                <w:rFonts w:ascii="Times New Roman" w:cs="Times New Roman" w:eastAsia="Times New Roman" w:hAnsi="Times New Roman"/>
                <w:sz w:val="18"/>
                <w:szCs w:val="18"/>
                <w:color w:val="231F20"/>
              </w:rPr>
              <w:t>(100.0000%)</w:t>
            </w:r>
          </w:p>
        </w:tc>
        <w:tc>
          <w:tcPr>
            <w:tcW w:w="102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(0.0000%)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5"/>
              </w:rPr>
              <w:t>(–)</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permission to deal in, (a) the Subdivided Class B</w:t>
            </w:r>
          </w:p>
        </w:tc>
        <w:tc>
          <w:tcPr>
            <w:tcW w:w="1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Ordinary Sharees, (b) any Subdivided Class B</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Ordinary Shares which may be issued upon exercise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of the share options and share awards granted and to</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be granted under the 2021 Plan; and (ii) the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compliance with the requirements from NASDAQ</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and the Listing Rules to effect the Share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Subdivision (as defined below), each of the issued</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and unissued Ordinary Shares of par value of</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US$0.0001 each be and is hereby subdivided into</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2"/>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eight (8) Ordinary Shares of par value of</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20"/>
        </w:trPr>
        <w:tc>
          <w:tcPr>
            <w:tcW w:w="580" w:type="dxa"/>
            <w:vAlign w:val="bottom"/>
            <w:tcBorders>
              <w:left w:val="single" w:sz="8" w:color="231F20"/>
              <w:right w:val="single" w:sz="8" w:color="231F20"/>
            </w:tcBorders>
          </w:tcPr>
          <w:p>
            <w:pPr>
              <w:spacing w:after="0"/>
              <w:rPr>
                <w:sz w:val="19"/>
                <w:szCs w:val="19"/>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US$0.0000125 each (“</w:t>
            </w:r>
            <w:r>
              <w:rPr>
                <w:rFonts w:ascii="Times New Roman" w:cs="Times New Roman" w:eastAsia="Times New Roman" w:hAnsi="Times New Roman"/>
                <w:sz w:val="18"/>
                <w:szCs w:val="18"/>
                <w:b w:val="1"/>
                <w:bCs w:val="1"/>
                <w:color w:val="231F20"/>
              </w:rPr>
              <w:t>Subdivided Shares</w:t>
            </w:r>
            <w:r>
              <w:rPr>
                <w:rFonts w:ascii="Times New Roman" w:cs="Times New Roman" w:eastAsia="Times New Roman" w:hAnsi="Times New Roman"/>
                <w:sz w:val="18"/>
                <w:szCs w:val="18"/>
                <w:color w:val="231F20"/>
              </w:rPr>
              <w:t>”), and</w:t>
            </w:r>
          </w:p>
        </w:tc>
        <w:tc>
          <w:tcPr>
            <w:tcW w:w="1220" w:type="dxa"/>
            <w:vAlign w:val="bottom"/>
            <w:tcBorders>
              <w:right w:val="single" w:sz="8" w:color="231F20"/>
            </w:tcBorders>
          </w:tcPr>
          <w:p>
            <w:pPr>
              <w:spacing w:after="0"/>
              <w:rPr>
                <w:sz w:val="19"/>
                <w:szCs w:val="19"/>
                <w:color w:val="auto"/>
              </w:rPr>
            </w:pPr>
          </w:p>
        </w:tc>
        <w:tc>
          <w:tcPr>
            <w:tcW w:w="1220" w:type="dxa"/>
            <w:vAlign w:val="bottom"/>
            <w:tcBorders>
              <w:right w:val="single" w:sz="8" w:color="231F20"/>
            </w:tcBorders>
          </w:tcPr>
          <w:p>
            <w:pPr>
              <w:spacing w:after="0"/>
              <w:rPr>
                <w:sz w:val="19"/>
                <w:szCs w:val="19"/>
                <w:color w:val="auto"/>
              </w:rPr>
            </w:pPr>
          </w:p>
        </w:tc>
        <w:tc>
          <w:tcPr>
            <w:tcW w:w="1020" w:type="dxa"/>
            <w:vAlign w:val="bottom"/>
            <w:tcBorders>
              <w:right w:val="single" w:sz="8" w:color="231F20"/>
            </w:tcBorders>
          </w:tcPr>
          <w:p>
            <w:pPr>
              <w:spacing w:after="0"/>
              <w:rPr>
                <w:sz w:val="19"/>
                <w:szCs w:val="19"/>
                <w:color w:val="auto"/>
              </w:rPr>
            </w:pPr>
          </w:p>
        </w:tc>
        <w:tc>
          <w:tcPr>
            <w:tcW w:w="1000" w:type="dxa"/>
            <w:vAlign w:val="bottom"/>
            <w:tcBorders>
              <w:right w:val="single" w:sz="8" w:color="231F20"/>
            </w:tcBorders>
          </w:tcPr>
          <w:p>
            <w:pPr>
              <w:spacing w:after="0"/>
              <w:rPr>
                <w:sz w:val="19"/>
                <w:szCs w:val="19"/>
                <w:color w:val="auto"/>
              </w:rPr>
            </w:pPr>
          </w:p>
        </w:tc>
        <w:tc>
          <w:tcPr>
            <w:tcW w:w="1120" w:type="dxa"/>
            <w:vAlign w:val="bottom"/>
            <w:tcBorders>
              <w:right w:val="single" w:sz="8" w:color="231F20"/>
            </w:tcBorders>
          </w:tcPr>
          <w:p>
            <w:pPr>
              <w:spacing w:after="0"/>
              <w:rPr>
                <w:sz w:val="19"/>
                <w:szCs w:val="19"/>
                <w:color w:val="auto"/>
              </w:rPr>
            </w:pPr>
          </w:p>
        </w:tc>
        <w:tc>
          <w:tcPr>
            <w:tcW w:w="1120" w:type="dxa"/>
            <w:vAlign w:val="bottom"/>
            <w:tcBorders>
              <w:right w:val="single" w:sz="8" w:color="231F20"/>
            </w:tcBorders>
          </w:tcPr>
          <w:p>
            <w:pPr>
              <w:spacing w:after="0"/>
              <w:rPr>
                <w:sz w:val="19"/>
                <w:szCs w:val="19"/>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such Subdivided Shares shall rank pari passu in all</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respects with each other in accordance with the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Memorandum and Articles of Association and have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the same rights and privileges and be subject to the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same restriction as the Shares in issue prior to the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Share Subdivision (save for the voting rights and</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conversion rights in relation to the Subdivided Class</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 Ordinary Shares as set out in the Memorandum</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and Articles of Association), after all relevant</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conditions have been met, being a day on which the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2"/>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Hong Kong Stock Exchange is open for business of</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20"/>
        </w:trPr>
        <w:tc>
          <w:tcPr>
            <w:tcW w:w="580" w:type="dxa"/>
            <w:vAlign w:val="bottom"/>
            <w:tcBorders>
              <w:left w:val="single" w:sz="8" w:color="231F20"/>
              <w:right w:val="single" w:sz="8" w:color="231F20"/>
            </w:tcBorders>
          </w:tcPr>
          <w:p>
            <w:pPr>
              <w:spacing w:after="0"/>
              <w:rPr>
                <w:sz w:val="19"/>
                <w:szCs w:val="19"/>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dealing in securities (the “</w:t>
            </w:r>
            <w:r>
              <w:rPr>
                <w:rFonts w:ascii="Times New Roman" w:cs="Times New Roman" w:eastAsia="Times New Roman" w:hAnsi="Times New Roman"/>
                <w:sz w:val="18"/>
                <w:szCs w:val="18"/>
                <w:b w:val="1"/>
                <w:bCs w:val="1"/>
                <w:color w:val="231F20"/>
              </w:rPr>
              <w:t>Share Subdivision</w:t>
            </w:r>
            <w:r>
              <w:rPr>
                <w:rFonts w:ascii="Times New Roman" w:cs="Times New Roman" w:eastAsia="Times New Roman" w:hAnsi="Times New Roman"/>
                <w:sz w:val="18"/>
                <w:szCs w:val="18"/>
                <w:color w:val="231F20"/>
              </w:rPr>
              <w:t>”),</w:t>
            </w:r>
          </w:p>
        </w:tc>
        <w:tc>
          <w:tcPr>
            <w:tcW w:w="1220" w:type="dxa"/>
            <w:vAlign w:val="bottom"/>
            <w:tcBorders>
              <w:right w:val="single" w:sz="8" w:color="231F20"/>
            </w:tcBorders>
          </w:tcPr>
          <w:p>
            <w:pPr>
              <w:spacing w:after="0"/>
              <w:rPr>
                <w:sz w:val="19"/>
                <w:szCs w:val="19"/>
                <w:color w:val="auto"/>
              </w:rPr>
            </w:pPr>
          </w:p>
        </w:tc>
        <w:tc>
          <w:tcPr>
            <w:tcW w:w="1220" w:type="dxa"/>
            <w:vAlign w:val="bottom"/>
            <w:tcBorders>
              <w:right w:val="single" w:sz="8" w:color="231F20"/>
            </w:tcBorders>
          </w:tcPr>
          <w:p>
            <w:pPr>
              <w:spacing w:after="0"/>
              <w:rPr>
                <w:sz w:val="19"/>
                <w:szCs w:val="19"/>
                <w:color w:val="auto"/>
              </w:rPr>
            </w:pPr>
          </w:p>
        </w:tc>
        <w:tc>
          <w:tcPr>
            <w:tcW w:w="1020" w:type="dxa"/>
            <w:vAlign w:val="bottom"/>
            <w:tcBorders>
              <w:right w:val="single" w:sz="8" w:color="231F20"/>
            </w:tcBorders>
          </w:tcPr>
          <w:p>
            <w:pPr>
              <w:spacing w:after="0"/>
              <w:rPr>
                <w:sz w:val="19"/>
                <w:szCs w:val="19"/>
                <w:color w:val="auto"/>
              </w:rPr>
            </w:pPr>
          </w:p>
        </w:tc>
        <w:tc>
          <w:tcPr>
            <w:tcW w:w="1000" w:type="dxa"/>
            <w:vAlign w:val="bottom"/>
            <w:tcBorders>
              <w:right w:val="single" w:sz="8" w:color="231F20"/>
            </w:tcBorders>
          </w:tcPr>
          <w:p>
            <w:pPr>
              <w:spacing w:after="0"/>
              <w:rPr>
                <w:sz w:val="19"/>
                <w:szCs w:val="19"/>
                <w:color w:val="auto"/>
              </w:rPr>
            </w:pPr>
          </w:p>
        </w:tc>
        <w:tc>
          <w:tcPr>
            <w:tcW w:w="1120" w:type="dxa"/>
            <w:vAlign w:val="bottom"/>
            <w:tcBorders>
              <w:right w:val="single" w:sz="8" w:color="231F20"/>
            </w:tcBorders>
          </w:tcPr>
          <w:p>
            <w:pPr>
              <w:spacing w:after="0"/>
              <w:rPr>
                <w:sz w:val="19"/>
                <w:szCs w:val="19"/>
                <w:color w:val="auto"/>
              </w:rPr>
            </w:pPr>
          </w:p>
        </w:tc>
        <w:tc>
          <w:tcPr>
            <w:tcW w:w="1120" w:type="dxa"/>
            <w:vAlign w:val="bottom"/>
            <w:tcBorders>
              <w:right w:val="single" w:sz="8" w:color="231F20"/>
            </w:tcBorders>
          </w:tcPr>
          <w:p>
            <w:pPr>
              <w:spacing w:after="0"/>
              <w:rPr>
                <w:sz w:val="19"/>
                <w:szCs w:val="19"/>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such that after the Share Subdivision, the authorized</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share capital of the Company be changed from</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US$100,000 divided into 1,000,000,000 shares of a</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par value of US$0.0001 each, comprising (i)</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50,000,000 Class A Ordinary Shares of a par value</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of US$0.0001 each, and (ii) 950,000,000 Class B</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Ordinary Shares of a par value of US$0.0001 each</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US$100,000 divided into 8,000,000,000 Ordinary</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Shares of a par value of US$0.0000125 each,</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comprising (i) 400,000,000 Subdivided Class A</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16"/>
        </w:trPr>
        <w:tc>
          <w:tcPr>
            <w:tcW w:w="580" w:type="dxa"/>
            <w:vAlign w:val="bottom"/>
            <w:tcBorders>
              <w:left w:val="single" w:sz="8" w:color="231F20"/>
              <w:right w:val="single" w:sz="8" w:color="231F20"/>
            </w:tcBorders>
          </w:tcPr>
          <w:p>
            <w:pPr>
              <w:spacing w:after="0"/>
              <w:rPr>
                <w:sz w:val="18"/>
                <w:szCs w:val="18"/>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Ordinary Shares of a par value of US$0.0000125</w:t>
            </w:r>
          </w:p>
        </w:tc>
        <w:tc>
          <w:tcPr>
            <w:tcW w:w="1220" w:type="dxa"/>
            <w:vAlign w:val="bottom"/>
            <w:tcBorders>
              <w:right w:val="single" w:sz="8" w:color="231F20"/>
            </w:tcBorders>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0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r>
      <w:tr>
        <w:trPr>
          <w:trHeight w:val="234"/>
        </w:trPr>
        <w:tc>
          <w:tcPr>
            <w:tcW w:w="580" w:type="dxa"/>
            <w:vAlign w:val="bottom"/>
            <w:tcBorders>
              <w:left w:val="single" w:sz="8" w:color="231F20"/>
              <w:right w:val="single" w:sz="8" w:color="231F20"/>
            </w:tcBorders>
          </w:tcPr>
          <w:p>
            <w:pPr>
              <w:spacing w:after="0"/>
              <w:rPr>
                <w:sz w:val="20"/>
                <w:szCs w:val="20"/>
                <w:color w:val="auto"/>
              </w:rPr>
            </w:pPr>
          </w:p>
        </w:tc>
        <w:tc>
          <w:tcPr>
            <w:tcW w:w="38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each,</w:t>
            </w:r>
          </w:p>
        </w:tc>
        <w:tc>
          <w:tcPr>
            <w:tcW w:w="122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c>
          <w:tcPr>
            <w:tcW w:w="1020" w:type="dxa"/>
            <w:vAlign w:val="bottom"/>
            <w:tcBorders>
              <w:right w:val="single" w:sz="8" w:color="231F20"/>
            </w:tcBorders>
          </w:tcPr>
          <w:p>
            <w:pPr>
              <w:spacing w:after="0"/>
              <w:rPr>
                <w:sz w:val="20"/>
                <w:szCs w:val="20"/>
                <w:color w:val="auto"/>
              </w:rPr>
            </w:pPr>
          </w:p>
        </w:tc>
        <w:tc>
          <w:tcPr>
            <w:tcW w:w="10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r>
      <w:tr>
        <w:trPr>
          <w:trHeight w:val="1080"/>
        </w:trPr>
        <w:tc>
          <w:tcPr>
            <w:tcW w:w="580" w:type="dxa"/>
            <w:vAlign w:val="bottom"/>
            <w:tcBorders>
              <w:left w:val="single" w:sz="8" w:color="231F20"/>
              <w:bottom w:val="single" w:sz="8" w:color="231F20"/>
              <w:right w:val="single" w:sz="8" w:color="231F20"/>
            </w:tcBorders>
          </w:tcPr>
          <w:p>
            <w:pPr>
              <w:spacing w:after="0"/>
              <w:rPr>
                <w:sz w:val="24"/>
                <w:szCs w:val="24"/>
                <w:color w:val="auto"/>
              </w:rPr>
            </w:pPr>
          </w:p>
        </w:tc>
        <w:tc>
          <w:tcPr>
            <w:tcW w:w="3880" w:type="dxa"/>
            <w:vAlign w:val="bottom"/>
            <w:tcBorders>
              <w:bottom w:val="single" w:sz="8" w:color="231F20"/>
              <w:right w:val="single" w:sz="8" w:color="231F20"/>
            </w:tcBorders>
          </w:tcPr>
          <w:p>
            <w:pPr>
              <w:spacing w:after="0"/>
              <w:rPr>
                <w:sz w:val="24"/>
                <w:szCs w:val="24"/>
                <w:color w:val="auto"/>
              </w:rPr>
            </w:pPr>
          </w:p>
        </w:tc>
        <w:tc>
          <w:tcPr>
            <w:tcW w:w="1220" w:type="dxa"/>
            <w:vAlign w:val="bottom"/>
            <w:tcBorders>
              <w:bottom w:val="single" w:sz="8" w:color="231F20"/>
              <w:right w:val="single" w:sz="8" w:color="231F20"/>
            </w:tcBorders>
          </w:tcPr>
          <w:p>
            <w:pPr>
              <w:spacing w:after="0"/>
              <w:rPr>
                <w:sz w:val="24"/>
                <w:szCs w:val="24"/>
                <w:color w:val="auto"/>
              </w:rPr>
            </w:pPr>
          </w:p>
        </w:tc>
        <w:tc>
          <w:tcPr>
            <w:tcW w:w="1220" w:type="dxa"/>
            <w:vAlign w:val="bottom"/>
            <w:tcBorders>
              <w:bottom w:val="single" w:sz="8" w:color="231F20"/>
              <w:right w:val="single" w:sz="8" w:color="231F20"/>
            </w:tcBorders>
          </w:tcPr>
          <w:p>
            <w:pPr>
              <w:spacing w:after="0"/>
              <w:rPr>
                <w:sz w:val="24"/>
                <w:szCs w:val="24"/>
                <w:color w:val="auto"/>
              </w:rPr>
            </w:pPr>
          </w:p>
        </w:tc>
        <w:tc>
          <w:tcPr>
            <w:tcW w:w="1020" w:type="dxa"/>
            <w:vAlign w:val="bottom"/>
            <w:tcBorders>
              <w:bottom w:val="single" w:sz="8" w:color="231F20"/>
              <w:right w:val="single" w:sz="8" w:color="231F20"/>
            </w:tcBorders>
          </w:tcPr>
          <w:p>
            <w:pPr>
              <w:spacing w:after="0"/>
              <w:rPr>
                <w:sz w:val="24"/>
                <w:szCs w:val="24"/>
                <w:color w:val="auto"/>
              </w:rPr>
            </w:pPr>
          </w:p>
        </w:tc>
        <w:tc>
          <w:tcPr>
            <w:tcW w:w="1000" w:type="dxa"/>
            <w:vAlign w:val="bottom"/>
            <w:tcBorders>
              <w:bottom w:val="single" w:sz="8" w:color="231F20"/>
              <w:right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2"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80" w:type="dxa"/>
            <w:vAlign w:val="bottom"/>
            <w:tcBorders>
              <w:top w:val="single" w:sz="8" w:color="231F20"/>
            </w:tcBorders>
          </w:tcPr>
          <w:p>
            <w:pPr>
              <w:spacing w:after="0"/>
              <w:rPr>
                <w:sz w:val="18"/>
                <w:szCs w:val="18"/>
                <w:color w:val="auto"/>
              </w:rPr>
            </w:pPr>
          </w:p>
        </w:tc>
        <w:tc>
          <w:tcPr>
            <w:tcW w:w="4300" w:type="dxa"/>
            <w:vAlign w:val="bottom"/>
            <w:tcBorders>
              <w:top w:val="single" w:sz="8" w:color="231F20"/>
            </w:tcBorders>
          </w:tcPr>
          <w:p>
            <w:pPr>
              <w:spacing w:after="0"/>
              <w:rPr>
                <w:sz w:val="18"/>
                <w:szCs w:val="18"/>
                <w:color w:val="auto"/>
              </w:rPr>
            </w:pPr>
          </w:p>
        </w:tc>
        <w:tc>
          <w:tcPr>
            <w:tcW w:w="1120" w:type="dxa"/>
            <w:vAlign w:val="bottom"/>
            <w:tcBorders>
              <w:top w:val="single" w:sz="8" w:color="231F20"/>
              <w:right w:val="single" w:sz="8" w:color="231F20"/>
            </w:tcBorders>
          </w:tcPr>
          <w:p>
            <w:pPr>
              <w:spacing w:after="0"/>
              <w:rPr>
                <w:sz w:val="18"/>
                <w:szCs w:val="18"/>
                <w:color w:val="auto"/>
              </w:rPr>
            </w:pPr>
          </w:p>
        </w:tc>
        <w:tc>
          <w:tcPr>
            <w:tcW w:w="2920" w:type="dxa"/>
            <w:vAlign w:val="bottom"/>
            <w:tcBorders>
              <w:top w:val="single" w:sz="8" w:color="231F20"/>
              <w:right w:val="single" w:sz="8" w:color="231F20"/>
            </w:tcBorders>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11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100" w:type="dxa"/>
            <w:vAlign w:val="bottom"/>
            <w:tcBorders>
              <w:top w:val="single" w:sz="8" w:color="231F20"/>
            </w:tcBorders>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AND</w:t>
            </w: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2920" w:type="dxa"/>
            <w:vAlign w:val="bottom"/>
            <w:tcBorders>
              <w:right w:val="single" w:sz="8" w:color="231F20"/>
            </w:tcBorders>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120" w:type="dxa"/>
            <w:vAlign w:val="bottom"/>
            <w:tcBorders>
              <w:right w:val="single" w:sz="8" w:color="231F20"/>
            </w:tcBorders>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38"/>
        </w:trPr>
        <w:tc>
          <w:tcPr>
            <w:tcW w:w="580" w:type="dxa"/>
            <w:vAlign w:val="bottom"/>
          </w:tcPr>
          <w:p>
            <w:pPr>
              <w:spacing w:after="0"/>
              <w:rPr>
                <w:sz w:val="20"/>
                <w:szCs w:val="20"/>
                <w:color w:val="auto"/>
              </w:rPr>
            </w:pPr>
          </w:p>
        </w:tc>
        <w:tc>
          <w:tcPr>
            <w:tcW w:w="4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120" w:type="dxa"/>
            <w:vAlign w:val="bottom"/>
            <w:tcBorders>
              <w:right w:val="single" w:sz="8" w:color="231F20"/>
            </w:tcBorders>
          </w:tcPr>
          <w:p>
            <w:pPr>
              <w:spacing w:after="0"/>
              <w:rPr>
                <w:sz w:val="20"/>
                <w:szCs w:val="20"/>
                <w:color w:val="auto"/>
              </w:rPr>
            </w:pPr>
          </w:p>
        </w:tc>
        <w:tc>
          <w:tcPr>
            <w:tcW w:w="11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VOTES</w:t>
            </w:r>
          </w:p>
        </w:tc>
      </w:tr>
      <w:tr>
        <w:trPr>
          <w:trHeight w:val="250"/>
        </w:trPr>
        <w:tc>
          <w:tcPr>
            <w:tcW w:w="58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231F20"/>
            </w:tcBorders>
          </w:tcPr>
          <w:p>
            <w:pPr>
              <w:spacing w:after="0"/>
              <w:rPr>
                <w:sz w:val="21"/>
                <w:szCs w:val="21"/>
                <w:color w:val="auto"/>
              </w:rPr>
            </w:pPr>
          </w:p>
        </w:tc>
        <w:tc>
          <w:tcPr>
            <w:tcW w:w="1120" w:type="dxa"/>
            <w:vAlign w:val="bottom"/>
            <w:tcBorders>
              <w:bottom w:val="single" w:sz="8" w:color="auto"/>
              <w:right w:val="single" w:sz="8" w:color="231F20"/>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FOR</w:t>
            </w:r>
          </w:p>
        </w:tc>
        <w:tc>
          <w:tcPr>
            <w:tcW w:w="90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900" w:type="dxa"/>
            <w:vAlign w:val="bottom"/>
            <w:tcBorders>
              <w:bottom w:val="single" w:sz="8" w:color="auto"/>
              <w:right w:val="single" w:sz="8" w:color="231F20"/>
            </w:tcBorders>
          </w:tcPr>
          <w:p>
            <w:pPr>
              <w:jc w:val="right"/>
              <w:spacing w:after="0" w:line="250" w:lineRule="exact"/>
              <w:rPr>
                <w:sz w:val="20"/>
                <w:szCs w:val="20"/>
                <w:color w:val="auto"/>
              </w:rPr>
            </w:pPr>
            <w:r>
              <w:rPr>
                <w:rFonts w:ascii="Times New Roman" w:cs="Times New Roman" w:eastAsia="Times New Roman" w:hAnsi="Times New Roman"/>
                <w:sz w:val="17"/>
                <w:szCs w:val="17"/>
                <w:b w:val="1"/>
                <w:bCs w:val="1"/>
                <w:color w:val="auto"/>
                <w:w w:val="98"/>
              </w:rPr>
              <w:t>ABSTAIN</w:t>
            </w:r>
            <w:r>
              <w:rPr>
                <w:rFonts w:ascii="Times New Roman" w:cs="Times New Roman" w:eastAsia="Times New Roman" w:hAnsi="Times New Roman"/>
                <w:sz w:val="28"/>
                <w:szCs w:val="28"/>
                <w:b w:val="1"/>
                <w:bCs w:val="1"/>
                <w:color w:val="auto"/>
                <w:w w:val="98"/>
                <w:vertAlign w:val="superscript"/>
              </w:rPr>
              <w:t>1</w:t>
            </w:r>
          </w:p>
        </w:tc>
        <w:tc>
          <w:tcPr>
            <w:tcW w:w="11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r>
      <w:tr>
        <w:trPr>
          <w:trHeight w:val="191"/>
        </w:trPr>
        <w:tc>
          <w:tcPr>
            <w:tcW w:w="580" w:type="dxa"/>
            <w:vAlign w:val="bottom"/>
          </w:tcPr>
          <w:p>
            <w:pPr>
              <w:spacing w:after="0"/>
              <w:rPr>
                <w:sz w:val="16"/>
                <w:szCs w:val="16"/>
                <w:color w:val="auto"/>
              </w:rPr>
            </w:pPr>
          </w:p>
        </w:tc>
        <w:tc>
          <w:tcPr>
            <w:tcW w:w="4300" w:type="dxa"/>
            <w:vAlign w:val="bottom"/>
            <w:tcBorders>
              <w:right w:val="single" w:sz="8" w:color="231F20"/>
            </w:tcBorders>
          </w:tcPr>
          <w:p>
            <w:pPr>
              <w:ind w:left="80"/>
              <w:spacing w:after="0" w:line="191" w:lineRule="exact"/>
              <w:rPr>
                <w:sz w:val="20"/>
                <w:szCs w:val="20"/>
                <w:color w:val="auto"/>
              </w:rPr>
            </w:pPr>
            <w:r>
              <w:rPr>
                <w:rFonts w:ascii="Times New Roman" w:cs="Times New Roman" w:eastAsia="Times New Roman" w:hAnsi="Times New Roman"/>
                <w:sz w:val="18"/>
                <w:szCs w:val="18"/>
                <w:color w:val="231F20"/>
              </w:rPr>
              <w:t>and (ii) 7,600,000,000 Subdivided Class B Ordinary</w:t>
            </w:r>
          </w:p>
        </w:tc>
        <w:tc>
          <w:tcPr>
            <w:tcW w:w="1120" w:type="dxa"/>
            <w:vAlign w:val="bottom"/>
            <w:tcBorders>
              <w:right w:val="single" w:sz="8" w:color="231F20"/>
            </w:tcBorders>
          </w:tcPr>
          <w:p>
            <w:pPr>
              <w:ind w:left="60"/>
              <w:spacing w:after="0" w:line="191" w:lineRule="exact"/>
              <w:rPr>
                <w:sz w:val="20"/>
                <w:szCs w:val="20"/>
                <w:color w:val="auto"/>
              </w:rPr>
            </w:pPr>
            <w:r>
              <w:rPr>
                <w:rFonts w:ascii="Times New Roman" w:cs="Times New Roman" w:eastAsia="Times New Roman" w:hAnsi="Times New Roman"/>
                <w:sz w:val="18"/>
                <w:szCs w:val="18"/>
                <w:color w:val="231F20"/>
              </w:rPr>
              <w:t>Class B</w:t>
            </w:r>
          </w:p>
        </w:tc>
        <w:tc>
          <w:tcPr>
            <w:tcW w:w="112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w w:val="98"/>
              </w:rPr>
              <w:t>92,226,997</w:t>
            </w:r>
          </w:p>
        </w:tc>
        <w:tc>
          <w:tcPr>
            <w:tcW w:w="90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231F20"/>
              </w:rPr>
              <w:t>136,798</w:t>
            </w:r>
          </w:p>
        </w:tc>
        <w:tc>
          <w:tcPr>
            <w:tcW w:w="900" w:type="dxa"/>
            <w:vAlign w:val="bottom"/>
            <w:tcBorders>
              <w:right w:val="single" w:sz="8" w:color="231F20"/>
            </w:tcBorders>
          </w:tcPr>
          <w:p>
            <w:pPr>
              <w:jc w:val="right"/>
              <w:ind w:right="151"/>
              <w:spacing w:after="0" w:line="191" w:lineRule="exact"/>
              <w:rPr>
                <w:sz w:val="20"/>
                <w:szCs w:val="20"/>
                <w:color w:val="auto"/>
              </w:rPr>
            </w:pPr>
            <w:r>
              <w:rPr>
                <w:rFonts w:ascii="Times New Roman" w:cs="Times New Roman" w:eastAsia="Times New Roman" w:hAnsi="Times New Roman"/>
                <w:sz w:val="18"/>
                <w:szCs w:val="18"/>
                <w:color w:val="231F20"/>
              </w:rPr>
              <w:t>304,339</w:t>
            </w:r>
          </w:p>
        </w:tc>
        <w:tc>
          <w:tcPr>
            <w:tcW w:w="1120" w:type="dxa"/>
            <w:vAlign w:val="bottom"/>
            <w:tcBorders>
              <w:right w:val="single" w:sz="8" w:color="231F20"/>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231F20"/>
              </w:rPr>
              <w:t>92,363,795</w:t>
            </w:r>
          </w:p>
        </w:tc>
        <w:tc>
          <w:tcPr>
            <w:tcW w:w="1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231F20"/>
              </w:rPr>
              <w:t>92,363,795</w:t>
            </w: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Shares of a par value of US$0.0000125 each, and that any</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Ordinary</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(99.8519%)</w:t>
            </w:r>
          </w:p>
        </w:tc>
        <w:tc>
          <w:tcPr>
            <w:tcW w:w="9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(0.1481%)</w:t>
            </w:r>
          </w:p>
        </w:tc>
        <w:tc>
          <w:tcPr>
            <w:tcW w:w="9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Director be and is hereby authorized for and on behalf of</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Shares</w:t>
            </w: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the Company to execute and deliver all such documents,</w:t>
            </w:r>
          </w:p>
        </w:tc>
        <w:tc>
          <w:tcPr>
            <w:tcW w:w="112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900" w:type="dxa"/>
            <w:vAlign w:val="bottom"/>
            <w:tcBorders>
              <w:bottom w:val="single" w:sz="8" w:color="231F20"/>
              <w:right w:val="single" w:sz="8" w:color="231F20"/>
            </w:tcBorders>
          </w:tcPr>
          <w:p>
            <w:pPr>
              <w:spacing w:after="0"/>
              <w:rPr>
                <w:sz w:val="20"/>
                <w:szCs w:val="20"/>
                <w:color w:val="auto"/>
              </w:rPr>
            </w:pPr>
          </w:p>
        </w:tc>
        <w:tc>
          <w:tcPr>
            <w:tcW w:w="900" w:type="dxa"/>
            <w:vAlign w:val="bottom"/>
            <w:tcBorders>
              <w:bottom w:val="single" w:sz="8" w:color="231F20"/>
              <w:right w:val="single" w:sz="8" w:color="231F20"/>
            </w:tcBorders>
          </w:tcPr>
          <w:p>
            <w:pPr>
              <w:spacing w:after="0"/>
              <w:rPr>
                <w:sz w:val="20"/>
                <w:szCs w:val="20"/>
                <w:color w:val="auto"/>
              </w:rPr>
            </w:pPr>
          </w:p>
        </w:tc>
        <w:tc>
          <w:tcPr>
            <w:tcW w:w="1120" w:type="dxa"/>
            <w:vAlign w:val="bottom"/>
            <w:tcBorders>
              <w:bottom w:val="single" w:sz="8" w:color="231F20"/>
              <w:right w:val="single" w:sz="8" w:color="231F20"/>
            </w:tcBorders>
          </w:tcPr>
          <w:p>
            <w:pPr>
              <w:spacing w:after="0"/>
              <w:rPr>
                <w:sz w:val="20"/>
                <w:szCs w:val="20"/>
                <w:color w:val="auto"/>
              </w:rPr>
            </w:pPr>
          </w:p>
        </w:tc>
        <w:tc>
          <w:tcPr>
            <w:tcW w:w="1100" w:type="dxa"/>
            <w:vAlign w:val="bottom"/>
            <w:tcBorders>
              <w:bottom w:val="single" w:sz="8" w:color="231F20"/>
            </w:tcBorders>
          </w:tcPr>
          <w:p>
            <w:pPr>
              <w:spacing w:after="0"/>
              <w:rPr>
                <w:sz w:val="20"/>
                <w:szCs w:val="20"/>
                <w:color w:val="auto"/>
              </w:rPr>
            </w:pPr>
          </w:p>
        </w:tc>
      </w:tr>
      <w:tr>
        <w:trPr>
          <w:trHeight w:val="178"/>
        </w:trPr>
        <w:tc>
          <w:tcPr>
            <w:tcW w:w="580" w:type="dxa"/>
            <w:vAlign w:val="bottom"/>
          </w:tcPr>
          <w:p>
            <w:pPr>
              <w:spacing w:after="0"/>
              <w:rPr>
                <w:sz w:val="15"/>
                <w:szCs w:val="15"/>
                <w:color w:val="auto"/>
              </w:rPr>
            </w:pPr>
          </w:p>
        </w:tc>
        <w:tc>
          <w:tcPr>
            <w:tcW w:w="4300" w:type="dxa"/>
            <w:vAlign w:val="bottom"/>
            <w:tcBorders>
              <w:right w:val="single" w:sz="8" w:color="231F20"/>
            </w:tcBorders>
          </w:tcPr>
          <w:p>
            <w:pPr>
              <w:ind w:left="80"/>
              <w:spacing w:after="0" w:line="177" w:lineRule="exact"/>
              <w:rPr>
                <w:sz w:val="20"/>
                <w:szCs w:val="20"/>
                <w:color w:val="auto"/>
              </w:rPr>
            </w:pPr>
            <w:r>
              <w:rPr>
                <w:rFonts w:ascii="Times New Roman" w:cs="Times New Roman" w:eastAsia="Times New Roman" w:hAnsi="Times New Roman"/>
                <w:sz w:val="18"/>
                <w:szCs w:val="18"/>
                <w:color w:val="231F20"/>
              </w:rPr>
              <w:t>instruments and agreements and to do all such acts or</w:t>
            </w:r>
          </w:p>
        </w:tc>
        <w:tc>
          <w:tcPr>
            <w:tcW w:w="112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900" w:type="dxa"/>
            <w:vAlign w:val="bottom"/>
            <w:tcBorders>
              <w:right w:val="single" w:sz="8" w:color="231F20"/>
            </w:tcBorders>
          </w:tcPr>
          <w:p>
            <w:pPr>
              <w:spacing w:after="0"/>
              <w:rPr>
                <w:sz w:val="15"/>
                <w:szCs w:val="15"/>
                <w:color w:val="auto"/>
              </w:rPr>
            </w:pPr>
          </w:p>
        </w:tc>
        <w:tc>
          <w:tcPr>
            <w:tcW w:w="900" w:type="dxa"/>
            <w:vAlign w:val="bottom"/>
            <w:tcBorders>
              <w:right w:val="single" w:sz="8" w:color="231F20"/>
            </w:tcBorders>
          </w:tcPr>
          <w:p>
            <w:pPr>
              <w:spacing w:after="0"/>
              <w:rPr>
                <w:sz w:val="15"/>
                <w:szCs w:val="15"/>
                <w:color w:val="auto"/>
              </w:rPr>
            </w:pPr>
          </w:p>
        </w:tc>
        <w:tc>
          <w:tcPr>
            <w:tcW w:w="1120" w:type="dxa"/>
            <w:vAlign w:val="bottom"/>
            <w:tcBorders>
              <w:right w:val="single" w:sz="8" w:color="231F20"/>
            </w:tcBorders>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things deemed by such Director in his/her absolute</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TOTAL</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362,215,607</w:t>
            </w:r>
          </w:p>
        </w:tc>
        <w:tc>
          <w:tcPr>
            <w:tcW w:w="9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136,798</w:t>
            </w:r>
          </w:p>
        </w:tc>
        <w:tc>
          <w:tcPr>
            <w:tcW w:w="9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304,339</w:t>
            </w:r>
          </w:p>
        </w:tc>
        <w:tc>
          <w:tcPr>
            <w:tcW w:w="1120" w:type="dxa"/>
            <w:vAlign w:val="bottom"/>
            <w:tcBorders>
              <w:right w:val="single" w:sz="8" w:color="231F20"/>
            </w:tcBorders>
          </w:tcPr>
          <w:p>
            <w:pPr>
              <w:jc w:val="right"/>
              <w:ind w:right="50"/>
              <w:spacing w:after="0"/>
              <w:rPr>
                <w:sz w:val="20"/>
                <w:szCs w:val="20"/>
                <w:color w:val="auto"/>
              </w:rPr>
            </w:pPr>
            <w:r>
              <w:rPr>
                <w:rFonts w:ascii="Times New Roman" w:cs="Times New Roman" w:eastAsia="Times New Roman" w:hAnsi="Times New Roman"/>
                <w:sz w:val="18"/>
                <w:szCs w:val="18"/>
                <w:color w:val="231F20"/>
              </w:rPr>
              <w:t>119,362,656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362,352,405</w:t>
            </w: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discretion to be incidental to, ancillary to or in connection</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NUMBER</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(99.9622%)</w:t>
            </w:r>
          </w:p>
        </w:tc>
        <w:tc>
          <w:tcPr>
            <w:tcW w:w="9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(0.0378%)</w:t>
            </w:r>
          </w:p>
        </w:tc>
        <w:tc>
          <w:tcPr>
            <w:tcW w:w="9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with the matters contemplated in and/or for</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(CLASS A &amp;</w:t>
            </w: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implementation of the Share Subdivision including but</w:t>
            </w:r>
          </w:p>
        </w:tc>
        <w:tc>
          <w:tcPr>
            <w:tcW w:w="11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CLASS B)</w:t>
            </w: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not limited to, arranging for necessary filings in the</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Cayman Islands, NASDAQ and Hong Kong, arranging to</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update the register of member of the Company and</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cancelling any Existing Share Certificates and issuing</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Subdivided Share Certificates to holders of the existing</w:t>
            </w:r>
          </w:p>
        </w:tc>
        <w:tc>
          <w:tcPr>
            <w:tcW w:w="112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1120" w:type="dxa"/>
            <w:vAlign w:val="bottom"/>
            <w:tcBorders>
              <w:right w:val="single" w:sz="8" w:color="231F20"/>
            </w:tcBorders>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30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Shares pursuant to the Share Subdivision.</w:t>
            </w:r>
          </w:p>
        </w:tc>
        <w:tc>
          <w:tcPr>
            <w:tcW w:w="112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900" w:type="dxa"/>
            <w:vAlign w:val="bottom"/>
            <w:tcBorders>
              <w:right w:val="single" w:sz="8" w:color="231F20"/>
            </w:tcBorders>
          </w:tcPr>
          <w:p>
            <w:pPr>
              <w:spacing w:after="0"/>
              <w:rPr>
                <w:sz w:val="20"/>
                <w:szCs w:val="20"/>
                <w:color w:val="auto"/>
              </w:rPr>
            </w:pPr>
          </w:p>
        </w:tc>
        <w:tc>
          <w:tcPr>
            <w:tcW w:w="900" w:type="dxa"/>
            <w:vAlign w:val="bottom"/>
            <w:tcBorders>
              <w:right w:val="single" w:sz="8" w:color="231F20"/>
            </w:tcBorders>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1100" w:type="dxa"/>
            <w:vAlign w:val="bottom"/>
          </w:tcPr>
          <w:p>
            <w:pPr>
              <w:spacing w:after="0"/>
              <w:rPr>
                <w:sz w:val="20"/>
                <w:szCs w:val="20"/>
                <w:color w:val="auto"/>
              </w:rPr>
            </w:pPr>
          </w:p>
        </w:tc>
      </w:tr>
      <w:tr>
        <w:trPr>
          <w:trHeight w:val="1296"/>
        </w:trPr>
        <w:tc>
          <w:tcPr>
            <w:tcW w:w="580" w:type="dxa"/>
            <w:vAlign w:val="bottom"/>
          </w:tcPr>
          <w:p>
            <w:pPr>
              <w:spacing w:after="0"/>
              <w:rPr>
                <w:sz w:val="24"/>
                <w:szCs w:val="24"/>
                <w:color w:val="auto"/>
              </w:rPr>
            </w:pPr>
          </w:p>
        </w:tc>
        <w:tc>
          <w:tcPr>
            <w:tcW w:w="4300" w:type="dxa"/>
            <w:vAlign w:val="bottom"/>
            <w:tcBorders>
              <w:bottom w:val="single" w:sz="8" w:color="231F20"/>
              <w:right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spacing w:after="0"/>
              <w:rPr>
                <w:sz w:val="24"/>
                <w:szCs w:val="24"/>
                <w:color w:val="auto"/>
              </w:rPr>
            </w:pPr>
          </w:p>
        </w:tc>
        <w:tc>
          <w:tcPr>
            <w:tcW w:w="1120" w:type="dxa"/>
            <w:vAlign w:val="bottom"/>
            <w:tcBorders>
              <w:bottom w:val="single" w:sz="8" w:color="231F20"/>
              <w:right w:val="single" w:sz="8" w:color="231F20"/>
            </w:tcBorders>
          </w:tcPr>
          <w:p>
            <w:pPr>
              <w:spacing w:after="0"/>
              <w:rPr>
                <w:sz w:val="24"/>
                <w:szCs w:val="24"/>
                <w:color w:val="auto"/>
              </w:rPr>
            </w:pPr>
          </w:p>
        </w:tc>
        <w:tc>
          <w:tcPr>
            <w:tcW w:w="1100" w:type="dxa"/>
            <w:vAlign w:val="bottom"/>
            <w:tcBorders>
              <w:bottom w:val="single" w:sz="8" w:color="231F20"/>
            </w:tcBorders>
          </w:tcPr>
          <w:p>
            <w:pPr>
              <w:spacing w:after="0"/>
              <w:rPr>
                <w:sz w:val="24"/>
                <w:szCs w:val="24"/>
                <w:color w:val="auto"/>
              </w:rPr>
            </w:pPr>
          </w:p>
        </w:tc>
      </w:tr>
    </w:tbl>
    <w:p>
      <w:pPr>
        <w:ind w:left="660" w:right="480"/>
        <w:spacing w:after="0" w:line="260" w:lineRule="auto"/>
        <w:rPr>
          <w:sz w:val="20"/>
          <w:szCs w:val="20"/>
          <w:color w:val="auto"/>
        </w:rPr>
      </w:pPr>
      <w:r>
        <w:rPr>
          <w:rFonts w:ascii="Times New Roman" w:cs="Times New Roman" w:eastAsia="Times New Roman" w:hAnsi="Times New Roman"/>
          <w:sz w:val="18"/>
          <w:szCs w:val="18"/>
          <w:color w:val="231F20"/>
        </w:rPr>
        <w:drawing>
          <wp:anchor simplePos="0" relativeHeight="251657728" behindDoc="1" locked="0" layoutInCell="0" allowOverlap="1">
            <wp:simplePos x="0" y="0"/>
            <wp:positionH relativeFrom="page">
              <wp:posOffset>208280</wp:posOffset>
            </wp:positionH>
            <wp:positionV relativeFrom="page">
              <wp:posOffset>586105</wp:posOffset>
            </wp:positionV>
            <wp:extent cx="7071995" cy="4320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4320540"/>
                    </a:xfrm>
                    <a:prstGeom prst="rect">
                      <a:avLst/>
                    </a:prstGeom>
                    <a:noFill/>
                  </pic:spPr>
                </pic:pic>
              </a:graphicData>
            </a:graphic>
          </wp:anchor>
        </w:drawing>
        <w:t>The resolution has been duly passed as an ordinary resolution with a simple majority of valid votes held by Shareholders (including proxies) attending the AGM cast in favour thereof.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share registrar in Hong Kong, Tricor Investor Services Limited, acted as the scrutineer for the vote-taking at the AGM.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Directors attended the AGM in person or via electronic means: Dr. Yifan Li, Dr. Kai Sun, Mr. Shaoqing Xiang, Ms. Cailian Yang, Ms. Yi Zhang, Mr. Jia Ren and Dr. Hui Wang.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UPDATE ON THE SHARE SUBDIVISION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Board is pleased to announce that, subsequent to the passing of the Shareholders’ resolutions in relation to the Share Subdivision, subject to certain conditions as set out in the section headed “Conditions of the Share Subdivision” in the Circular (including the granting of the listing approval by the Hong Kong Stock Exchange), the Share Subdivision will become effective on Friday, July 10, 2026 and dealings in the Subdivided Class B Ordinary Shares will commence at 9:00 a.m. on Friday, July 10, 2026.</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Please refer to the Circular for further details of, among others, the trading arrangement, the arrangement for free exchange of share certificates and matching services for odd lots of the Subdivided Class B Ordinary Shares in connection with the Share Subdivision. Shareholders should note that upon the Share Subdivision becoming effective, the new share certificates of the Subdivided Class B Ordinary Shares will be issued in yellow colour.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Company will make further announcement(s) to keep Shareholders informed regarding the Share Subdivision as and when appropriate.</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2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Hesai Group</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Dr. Yifan Li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231F20"/>
        </w:rPr>
        <w:t>Chairman of the Board, Executive Director and 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Hong Kong, June 26,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comprises: (i) Dr. Yifan Li, Dr. Kai Sun, Mr. Shaoqing Xiang and Ms. Cailian Yang as the executive Directors; and (ii) Ms. Yi Zhang, Mr. Jia Ren and Dr. Hui Wang as the independent non-executive Directors.</w:t>
      </w:r>
    </w:p>
    <w:p>
      <w:pPr>
        <w:spacing w:after="0" w:line="158"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For identification purpose only</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2026-06-26T07:30:54Z</dcterms:created>
  <dcterms:modified xsi:type="dcterms:W3CDTF">2026-06-26T07:30:54Z</dcterms:modified>
</cp:coreProperties>
</file>