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186690</wp:posOffset>
            </wp:positionH>
            <wp:positionV relativeFrom="page">
              <wp:posOffset>266065</wp:posOffset>
            </wp:positionV>
            <wp:extent cx="7174865"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page">
              <wp:posOffset>186690</wp:posOffset>
            </wp:positionH>
            <wp:positionV relativeFrom="page">
              <wp:posOffset>289560</wp:posOffset>
            </wp:positionV>
            <wp:extent cx="71748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715"/>
                    </a:xfrm>
                    <a:prstGeom prst="rect">
                      <a:avLst/>
                    </a:prstGeom>
                    <a:noFill/>
                  </pic:spPr>
                </pic:pic>
              </a:graphicData>
            </a:graphic>
          </wp:anchor>
        </w:drawing>
        <w:t>UNITED STATES</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FORM 6-K</w:t>
      </w:r>
    </w:p>
    <w:p>
      <w:pPr>
        <w:spacing w:after="0" w:line="1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PURSUANT TO RULE 13a-16 OR 15d-16 UNDER</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47"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2"/>
          <w:szCs w:val="12"/>
          <w:color w:val="auto"/>
        </w:rPr>
        <w:t>For the month of 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132715</wp:posOffset>
            </wp:positionV>
            <wp:extent cx="179832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8320" cy="5715"/>
                    </a:xfrm>
                    <a:prstGeom prst="rect">
                      <a:avLst/>
                    </a:prstGeom>
                    <a:noFill/>
                  </pic:spPr>
                </pic:pic>
              </a:graphicData>
            </a:graphic>
          </wp:anchor>
        </w:drawing>
      </w:r>
    </w:p>
    <w:p>
      <w:pPr>
        <w:spacing w:after="0" w:line="38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color w:val="auto"/>
        </w:rPr>
        <w:t>Commission File Number: 001-41611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132715</wp:posOffset>
            </wp:positionV>
            <wp:extent cx="179832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8320" cy="5715"/>
                    </a:xfrm>
                    <a:prstGeom prst="rect">
                      <a:avLst/>
                    </a:prstGeom>
                    <a:noFill/>
                  </pic:spPr>
                </pic:pic>
              </a:graphicData>
            </a:graphic>
          </wp:anchor>
        </w:drawing>
      </w:r>
    </w:p>
    <w:p>
      <w:pPr>
        <w:spacing w:after="0" w:line="38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Hesai Group</w:t>
      </w:r>
    </w:p>
    <w:p>
      <w:pPr>
        <w:spacing w:after="0" w:line="16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10th Floor, Building A</w:t>
      </w:r>
    </w:p>
    <w:p>
      <w:pPr>
        <w:spacing w:after="0" w:line="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No. 658 Zhaohua Road, Changning District</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Shanghai 200050</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People’s Republic of China</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33" w:lineRule="exact"/>
        <w:rPr>
          <w:sz w:val="24"/>
          <w:szCs w:val="24"/>
          <w:color w:val="auto"/>
        </w:rPr>
      </w:pPr>
    </w:p>
    <w:p>
      <w:pPr>
        <w:ind w:left="4900"/>
        <w:spacing w:after="0" w:line="138" w:lineRule="exact"/>
        <w:rPr>
          <w:sz w:val="20"/>
          <w:szCs w:val="20"/>
          <w:color w:val="auto"/>
        </w:rPr>
      </w:pPr>
      <w:r>
        <w:rPr>
          <w:rFonts w:ascii="Times New Roman" w:cs="Times New Roman" w:eastAsia="Times New Roman" w:hAnsi="Times New Roman"/>
          <w:sz w:val="12"/>
          <w:szCs w:val="12"/>
          <w:color w:val="auto"/>
        </w:rPr>
        <w:t>Form 20-F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748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167640</wp:posOffset>
            </wp:positionV>
            <wp:extent cx="7174865"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497205</wp:posOffset>
            </wp:positionV>
            <wp:extent cx="717486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159"/>
          </w:cols>
          <w:pgMar w:left="300" w:top="654" w:right="1440" w:bottom="1440" w:gutter="0" w:footer="0" w:header="0"/>
        </w:sectPr>
      </w:pPr>
    </w:p>
    <w:bookmarkStart w:id="1" w:name="page2"/>
    <w:bookmarkEnd w:id="1"/>
    <w:p>
      <w:pPr>
        <w:ind w:left="5280"/>
        <w:spacing w:after="0"/>
        <w:rPr>
          <w:sz w:val="20"/>
          <w:szCs w:val="20"/>
          <w:color w:val="auto"/>
        </w:rPr>
      </w:pPr>
      <w:r>
        <w:rPr>
          <w:rFonts w:ascii="Times New Roman" w:cs="Times New Roman" w:eastAsia="Times New Roman" w:hAnsi="Times New Roman"/>
          <w:sz w:val="12"/>
          <w:szCs w:val="12"/>
          <w:b w:val="1"/>
          <w:bCs w:val="1"/>
          <w:color w:val="auto"/>
        </w:rPr>
        <w:t>Exhibit Index</w:t>
      </w:r>
    </w:p>
    <w:p>
      <w:pPr>
        <w:spacing w:after="0" w:line="16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2"/>
          <w:szCs w:val="12"/>
          <w:u w:val="single" w:color="auto"/>
          <w:color w:val="0000EE"/>
        </w:rPr>
        <w:t>99.1</w:t>
      </w:r>
      <w:r>
        <w:rPr>
          <w:sz w:val="20"/>
          <w:szCs w:val="20"/>
          <w:color w:val="auto"/>
        </w:rPr>
        <w:tab/>
      </w:r>
      <w:r>
        <w:rPr>
          <w:rFonts w:ascii="Times New Roman" w:cs="Times New Roman" w:eastAsia="Times New Roman" w:hAnsi="Times New Roman"/>
          <w:sz w:val="12"/>
          <w:szCs w:val="12"/>
          <w:u w:val="single" w:color="auto"/>
          <w:color w:val="0000EE"/>
        </w:rPr>
        <w:t>Monthly Return of Equity Issuer on Movements in Securities for the month ended 30 April 2026</w:t>
      </w:r>
    </w:p>
    <w:p>
      <w:pPr>
        <w:spacing w:after="0" w:line="15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2"/>
          <w:szCs w:val="12"/>
          <w:u w:val="single" w:color="auto"/>
          <w:color w:val="0000EE"/>
        </w:rPr>
        <w:t>99.2</w:t>
      </w:r>
      <w:r>
        <w:rPr>
          <w:sz w:val="20"/>
          <w:szCs w:val="20"/>
          <w:color w:val="auto"/>
        </w:rPr>
        <w:tab/>
      </w:r>
      <w:r>
        <w:rPr>
          <w:rFonts w:ascii="Times New Roman" w:cs="Times New Roman" w:eastAsia="Times New Roman" w:hAnsi="Times New Roman"/>
          <w:sz w:val="12"/>
          <w:szCs w:val="12"/>
          <w:u w:val="single" w:color="auto"/>
          <w:color w:val="0000EE"/>
        </w:rPr>
        <w:t>Announcement—Record Date for 2026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309880</wp:posOffset>
            </wp:positionV>
            <wp:extent cx="717486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159"/>
          </w:cols>
          <w:pgMar w:left="300" w:top="66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5640" w:type="dxa"/>
        <w:tblCellMar>
          <w:top w:w="0" w:type="dxa"/>
          <w:left w:w="0" w:type="dxa"/>
          <w:bottom w:w="0" w:type="dxa"/>
          <w:right w:w="0" w:type="dxa"/>
        </w:tblCellMar>
      </w:tblPr>
      <w:tr>
        <w:trPr>
          <w:trHeight w:val="162"/>
        </w:trPr>
        <w:tc>
          <w:tcPr>
            <w:tcW w:w="8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Hesai Group</w:t>
            </w:r>
          </w:p>
        </w:tc>
        <w:tc>
          <w:tcPr>
            <w:tcW w:w="4860" w:type="dxa"/>
            <w:vAlign w:val="bottom"/>
          </w:tcPr>
          <w:p>
            <w:pPr>
              <w:spacing w:after="0"/>
              <w:rPr>
                <w:sz w:val="14"/>
                <w:szCs w:val="14"/>
                <w:color w:val="auto"/>
              </w:rPr>
            </w:pPr>
          </w:p>
        </w:tc>
      </w:tr>
      <w:tr>
        <w:trPr>
          <w:trHeight w:val="297"/>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32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Yifan Li</w:t>
            </w:r>
          </w:p>
        </w:tc>
      </w:tr>
      <w:tr>
        <w:trPr>
          <w:trHeight w:val="126"/>
        </w:trPr>
        <w:tc>
          <w:tcPr>
            <w:tcW w:w="4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Name</w:t>
            </w:r>
          </w:p>
        </w:tc>
        <w:tc>
          <w:tcPr>
            <w:tcW w:w="320" w:type="dxa"/>
            <w:vAlign w:val="bottom"/>
          </w:tcPr>
          <w:p>
            <w:pPr>
              <w:jc w:val="right"/>
              <w:ind w:right="38"/>
              <w:spacing w:after="0" w:line="126" w:lineRule="exact"/>
              <w:rPr>
                <w:sz w:val="20"/>
                <w:szCs w:val="20"/>
                <w:color w:val="auto"/>
              </w:rPr>
            </w:pPr>
            <w:r>
              <w:rPr>
                <w:rFonts w:ascii="Times New Roman" w:cs="Times New Roman" w:eastAsia="Times New Roman" w:hAnsi="Times New Roman"/>
                <w:sz w:val="12"/>
                <w:szCs w:val="12"/>
                <w:color w:val="auto"/>
              </w:rPr>
              <w:t>:</w:t>
            </w:r>
          </w:p>
        </w:tc>
        <w:tc>
          <w:tcPr>
            <w:tcW w:w="48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Yifan Li</w:t>
            </w:r>
          </w:p>
        </w:tc>
      </w:tr>
      <w:tr>
        <w:trPr>
          <w:trHeight w:val="160"/>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32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w:t>
            </w:r>
          </w:p>
        </w:tc>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309880</wp:posOffset>
            </wp:positionV>
            <wp:extent cx="717486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3" w:right="299" w:bottom="1440" w:gutter="0" w:footer="0" w:header="0"/>
        </w:sectPr>
      </w:pPr>
    </w:p>
    <w:bookmarkStart w:id="3" w:name="page4"/>
    <w:bookmarkEnd w:id="3"/>
    <w:p>
      <w:pPr>
        <w:ind w:left="952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33655</wp:posOffset>
            </wp:positionV>
            <wp:extent cx="6885940" cy="5111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5940" cy="511175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ind w:left="10660"/>
        <w:spacing w:after="0"/>
        <w:rPr>
          <w:sz w:val="20"/>
          <w:szCs w:val="20"/>
          <w:color w:val="auto"/>
        </w:rPr>
      </w:pPr>
      <w:r>
        <w:rPr>
          <w:rFonts w:ascii="Times New Roman" w:cs="Times New Roman" w:eastAsia="Times New Roman" w:hAnsi="Times New Roman"/>
          <w:sz w:val="12"/>
          <w:szCs w:val="12"/>
          <w:b w:val="1"/>
          <w:bCs w:val="1"/>
          <w:color w:val="auto"/>
        </w:rPr>
        <w:t>Exhibit 99.2</w:t>
      </w:r>
    </w:p>
    <w:p>
      <w:pPr>
        <w:spacing w:after="0" w:line="178"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2"/>
          <w:szCs w:val="12"/>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73660</wp:posOffset>
            </wp:positionV>
            <wp:extent cx="1450340" cy="3181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50340" cy="31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2"/>
          <w:szCs w:val="12"/>
          <w:b w:val="1"/>
          <w:bCs w:val="1"/>
          <w:color w:val="auto"/>
        </w:rPr>
        <w:t>Hesai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10160</wp:posOffset>
            </wp:positionV>
            <wp:extent cx="395605" cy="107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5605" cy="107950"/>
                    </a:xfrm>
                    <a:prstGeom prst="rect">
                      <a:avLst/>
                    </a:prstGeom>
                    <a:noFill/>
                  </pic:spPr>
                </pic:pic>
              </a:graphicData>
            </a:graphic>
          </wp:anchor>
        </w:drawing>
      </w:r>
    </w:p>
    <w:p>
      <w:pPr>
        <w:spacing w:after="0" w:line="4" w:lineRule="exact"/>
        <w:rPr>
          <w:sz w:val="20"/>
          <w:szCs w:val="20"/>
          <w:color w:val="auto"/>
        </w:rPr>
      </w:pPr>
    </w:p>
    <w:p>
      <w:pPr>
        <w:ind w:left="5300"/>
        <w:spacing w:after="0" w:line="146" w:lineRule="exact"/>
        <w:rPr>
          <w:sz w:val="20"/>
          <w:szCs w:val="20"/>
          <w:color w:val="auto"/>
        </w:rPr>
      </w:pPr>
      <w:r>
        <w:rPr>
          <w:rFonts w:ascii="PMingLiU" w:cs="PMingLiU" w:eastAsia="PMingLiU" w:hAnsi="PMingLiU"/>
          <w:sz w:val="12"/>
          <w:szCs w:val="12"/>
          <w:color w:val="auto"/>
        </w:rPr>
        <w:t>禾 賽 科 技</w:t>
      </w:r>
      <w:r>
        <w:rPr>
          <w:rFonts w:ascii="Times New Roman" w:cs="Times New Roman" w:eastAsia="Times New Roman" w:hAnsi="Times New Roman"/>
          <w:sz w:val="12"/>
          <w:szCs w:val="12"/>
          <w:b w:val="1"/>
          <w:bCs w:val="1"/>
          <w:color w:val="auto"/>
        </w:rPr>
        <w:t xml:space="preserve"> *</w:t>
      </w:r>
    </w:p>
    <w:p>
      <w:pPr>
        <w:spacing w:after="0" w:line="1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2"/>
          <w:szCs w:val="12"/>
          <w:i w:val="1"/>
          <w:iCs w:val="1"/>
          <w:color w:val="auto"/>
        </w:rPr>
        <w:t>(A company controlled through weighted voting rights and incorporated in the Cayman Islands with limited liability)</w:t>
      </w:r>
    </w:p>
    <w:p>
      <w:pPr>
        <w:spacing w:after="0" w:line="2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2"/>
          <w:szCs w:val="12"/>
          <w:b w:val="1"/>
          <w:bCs w:val="1"/>
          <w:color w:val="auto"/>
        </w:rPr>
        <w:t>(HKEX Stock Code: 2525)</w:t>
      </w:r>
    </w:p>
    <w:p>
      <w:pPr>
        <w:spacing w:after="0" w:line="1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2"/>
          <w:szCs w:val="12"/>
          <w:b w:val="1"/>
          <w:bCs w:val="1"/>
          <w:color w:val="auto"/>
        </w:rPr>
        <w:t>(NASDAQ Stock Ticker: HSAI)</w:t>
      </w:r>
    </w:p>
    <w:p>
      <w:pPr>
        <w:spacing w:after="0" w:line="14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2"/>
          <w:szCs w:val="12"/>
          <w:b w:val="1"/>
          <w:bCs w:val="1"/>
          <w:color w:val="auto"/>
        </w:rPr>
        <w:t>RECORD DATE FOR 2026 ANNUAL GENERAL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annual general meeting (the “</w:t>
      </w:r>
      <w:r>
        <w:rPr>
          <w:rFonts w:ascii="Times New Roman" w:cs="Times New Roman" w:eastAsia="Times New Roman" w:hAnsi="Times New Roman"/>
          <w:sz w:val="12"/>
          <w:szCs w:val="12"/>
          <w:b w:val="1"/>
          <w:bCs w:val="1"/>
          <w:color w:val="auto"/>
        </w:rPr>
        <w:t>AGM</w:t>
      </w:r>
      <w:r>
        <w:rPr>
          <w:rFonts w:ascii="Times New Roman" w:cs="Times New Roman" w:eastAsia="Times New Roman" w:hAnsi="Times New Roman"/>
          <w:sz w:val="12"/>
          <w:szCs w:val="12"/>
          <w:color w:val="auto"/>
        </w:rPr>
        <w:t>”) of Hesai Group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is scheduled to be held on Friday, June 26, 2026, Hong Kong time.</w:t>
      </w:r>
    </w:p>
    <w:p>
      <w:pPr>
        <w:spacing w:after="0" w:line="15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board of directors of the Company (the “</w:t>
      </w:r>
      <w:r>
        <w:rPr>
          <w:rFonts w:ascii="Times New Roman" w:cs="Times New Roman" w:eastAsia="Times New Roman" w:hAnsi="Times New Roman"/>
          <w:sz w:val="12"/>
          <w:szCs w:val="12"/>
          <w:b w:val="1"/>
          <w:bCs w:val="1"/>
          <w:color w:val="auto"/>
        </w:rPr>
        <w:t>Board</w:t>
      </w:r>
      <w:r>
        <w:rPr>
          <w:rFonts w:ascii="Times New Roman" w:cs="Times New Roman" w:eastAsia="Times New Roman" w:hAnsi="Times New Roman"/>
          <w:sz w:val="12"/>
          <w:szCs w:val="12"/>
          <w:color w:val="auto"/>
        </w:rPr>
        <w:t>”) announces that the record date for the purpose of determining the eligibility of the holders of the Class A ordinary shares and/or Class B ordinary shares of the Company, each with a par value US$0.0001 per share, to attend and vote at the forthcoming AGM will be as of the close of business on Friday, May 22, 2026, Hong Kong time (the “</w:t>
      </w:r>
      <w:r>
        <w:rPr>
          <w:rFonts w:ascii="Times New Roman" w:cs="Times New Roman" w:eastAsia="Times New Roman" w:hAnsi="Times New Roman"/>
          <w:sz w:val="12"/>
          <w:szCs w:val="12"/>
          <w:b w:val="1"/>
          <w:bCs w:val="1"/>
          <w:color w:val="auto"/>
        </w:rPr>
        <w:t>Shares Record Date</w:t>
      </w:r>
      <w:r>
        <w:rPr>
          <w:rFonts w:ascii="Times New Roman" w:cs="Times New Roman" w:eastAsia="Times New Roman" w:hAnsi="Times New Roman"/>
          <w:sz w:val="12"/>
          <w:szCs w:val="12"/>
          <w:color w:val="auto"/>
        </w:rPr>
        <w:t>”). Holders of the Company’s Class A ordinary shares and/or Class B ordinary shares as of the Shares Record Date are entitled to attend and vote at the forthcoming AGM and any adjourned meeting thereof.</w:t>
      </w:r>
    </w:p>
    <w:p>
      <w:pPr>
        <w:spacing w:after="0" w:line="1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In order to be eligible to attend and vote at the AGM, persons who hold the Company’s Class A ordinary shares and/or Class B ordinary shares directly on our Cayman Islands register of members should ensure that all valid transfer documents, accompanied by the relevant share certificates, are lodged with our principal share registrar in Cayman Islands, Maples Fund Services (Cayman) Limited, at PO Box 1093, Boundary Hall, Cricket Square, Grand Cayman, KY1-1102, Cayman Islands, before 4:30 p.m., Cayman Islands time, on Thursday, May 21, 2026 (due to the time difference between Cayman Islands and Hong Kong); and persons who hold the Company’s Class B ordinary shares directly on our Hong Kong register of members should ensure that all valid transfer documents, accompanied by the relevant share certificates, are lodged with our branch share registrar in Hong Kong, Tricor Investor Services Limited, at 17/F, Far East Finance Centre, 16 Harcourt Road, Hong Kong, before 4:30 p.m., on Friday, May 22, 2026, Hong Kong time.</w:t>
      </w:r>
    </w:p>
    <w:p>
      <w:pPr>
        <w:spacing w:after="0" w:line="1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Holders of record of American Depositary Shares, each representing one Class B ordinary shares of the Company (the “</w:t>
      </w:r>
      <w:r>
        <w:rPr>
          <w:rFonts w:ascii="Times New Roman" w:cs="Times New Roman" w:eastAsia="Times New Roman" w:hAnsi="Times New Roman"/>
          <w:sz w:val="12"/>
          <w:szCs w:val="12"/>
          <w:b w:val="1"/>
          <w:bCs w:val="1"/>
          <w:color w:val="auto"/>
        </w:rPr>
        <w:t>ADSs</w:t>
      </w:r>
      <w:r>
        <w:rPr>
          <w:rFonts w:ascii="Times New Roman" w:cs="Times New Roman" w:eastAsia="Times New Roman" w:hAnsi="Times New Roman"/>
          <w:sz w:val="12"/>
          <w:szCs w:val="12"/>
          <w:color w:val="auto"/>
        </w:rPr>
        <w:t>”) as of the close of business on Friday May 22, 2026, New York time (the “</w:t>
      </w:r>
      <w:r>
        <w:rPr>
          <w:rFonts w:ascii="Times New Roman" w:cs="Times New Roman" w:eastAsia="Times New Roman" w:hAnsi="Times New Roman"/>
          <w:sz w:val="12"/>
          <w:szCs w:val="12"/>
          <w:b w:val="1"/>
          <w:bCs w:val="1"/>
          <w:color w:val="auto"/>
        </w:rPr>
        <w:t>ADS Record Date</w:t>
      </w:r>
      <w:r>
        <w:rPr>
          <w:rFonts w:ascii="Times New Roman" w:cs="Times New Roman" w:eastAsia="Times New Roman" w:hAnsi="Times New Roman"/>
          <w:sz w:val="12"/>
          <w:szCs w:val="12"/>
          <w:color w:val="auto"/>
        </w:rPr>
        <w:t>”) who wish to exercise their voting rights for the underlying Class B ordinary shares must give voting instructions to Deutsche Bank Trust Company Americas, the depositary of the ADSs (the “</w:t>
      </w:r>
      <w:r>
        <w:rPr>
          <w:rFonts w:ascii="Times New Roman" w:cs="Times New Roman" w:eastAsia="Times New Roman" w:hAnsi="Times New Roman"/>
          <w:sz w:val="12"/>
          <w:szCs w:val="12"/>
          <w:b w:val="1"/>
          <w:bCs w:val="1"/>
          <w:color w:val="auto"/>
        </w:rPr>
        <w:t>Depositary</w:t>
      </w:r>
      <w:r>
        <w:rPr>
          <w:rFonts w:ascii="Times New Roman" w:cs="Times New Roman" w:eastAsia="Times New Roman" w:hAnsi="Times New Roman"/>
          <w:sz w:val="12"/>
          <w:szCs w:val="12"/>
          <w:color w:val="auto"/>
        </w:rPr>
        <w:t>”). Please be aware that, because of the time difference between Hong Kong and New York, any ADS holders that cancel their ADSs in exchange for Class B ordinary shares on Friday, May 22, 2026, New York time will no longer be ADS holders with respect to such cancelled ADSs as of the ADS Record Date and will not be able to instruct the Depositary as to how to vote the Class B ordinary shares represented by such cancelled ADSs as described above; such ADS holders will also not be holders of the Class B ordinary shares represented by such cancelled ADSs as of the Shares Record Date for the purpose of determining the eligibility to attend and vote at the AGM.</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7486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292" w:right="29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2"/>
          <w:szCs w:val="12"/>
          <w:color w:val="auto"/>
        </w:rPr>
        <w:t>Details including the meeting date and location of the AGM will be set out in the circular and the notice of such meeting to be issued by the Company in due course.</w:t>
      </w:r>
    </w:p>
    <w:p>
      <w:pPr>
        <w:spacing w:after="0" w:line="15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2"/>
          <w:szCs w:val="12"/>
          <w:color w:val="auto"/>
        </w:rPr>
        <w:t>By order of the Board</w:t>
      </w:r>
    </w:p>
    <w:p>
      <w:pPr>
        <w:spacing w:after="0" w:line="2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2"/>
          <w:szCs w:val="12"/>
          <w:b w:val="1"/>
          <w:bCs w:val="1"/>
          <w:color w:val="auto"/>
        </w:rPr>
        <w:t>Hesai Group</w:t>
      </w:r>
    </w:p>
    <w:p>
      <w:pPr>
        <w:spacing w:after="0" w:line="11"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2"/>
          <w:szCs w:val="12"/>
          <w:b w:val="1"/>
          <w:bCs w:val="1"/>
          <w:color w:val="auto"/>
        </w:rPr>
        <w:t>Dr. Yifan Li</w:t>
      </w:r>
    </w:p>
    <w:p>
      <w:pPr>
        <w:spacing w:after="0" w:line="11"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2"/>
          <w:szCs w:val="12"/>
          <w:i w:val="1"/>
          <w:iCs w:val="1"/>
          <w:color w:val="auto"/>
        </w:rPr>
        <w:t>Chairman of the Board, Executive Director and</w:t>
      </w:r>
    </w:p>
    <w:p>
      <w:pPr>
        <w:spacing w:after="0" w:line="11"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2"/>
          <w:szCs w:val="12"/>
          <w:i w:val="1"/>
          <w:iCs w:val="1"/>
          <w:color w:val="auto"/>
        </w:rPr>
        <w:t>Chief Executive Officer</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Hong Kong, May 8, 2026</w:t>
      </w:r>
    </w:p>
    <w:p>
      <w:pPr>
        <w:spacing w:after="0" w:line="157"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2"/>
          <w:szCs w:val="12"/>
          <w:i w:val="1"/>
          <w:iCs w:val="1"/>
          <w:color w:val="auto"/>
        </w:rPr>
        <w:t>As at the date of this announcement, the Board comprises: (i) Dr. Yifan Li, Dr. Kai Sun, Mr. Shaoqing Xiang and Ms. Cailian Yang as the executive Directors; and (ii) Ms. Yi Zhang, Mr. Jia Ren and Dr. Hui Wang as the independent non-executive Directors.</w:t>
      </w:r>
    </w:p>
    <w:p>
      <w:pPr>
        <w:spacing w:after="0" w:line="101" w:lineRule="exact"/>
        <w:rPr>
          <w:sz w:val="20"/>
          <w:szCs w:val="20"/>
          <w:color w:val="auto"/>
        </w:rPr>
      </w:pPr>
    </w:p>
    <w:p>
      <w:pPr>
        <w:ind w:left="120" w:hanging="101"/>
        <w:spacing w:after="0"/>
        <w:tabs>
          <w:tab w:leader="none" w:pos="1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For identification purpose only</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7486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sectPr>
      <w:pgSz w:w="11900" w:h="16838" w:orient="portrait"/>
      <w:cols w:equalWidth="0" w:num="1">
        <w:col w:w="11280"/>
      </w:cols>
      <w:pgMar w:left="300" w:top="66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2026-05-08T15:19:07Z</dcterms:created>
  <dcterms:modified xsi:type="dcterms:W3CDTF">2026-05-08T15:19:07Z</dcterms:modified>
</cp:coreProperties>
</file>